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0332" w14:textId="77777777" w:rsidR="001723FD" w:rsidRPr="001723FD" w:rsidRDefault="001723FD" w:rsidP="001723FD">
      <w:pPr>
        <w:jc w:val="center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1723FD">
        <w:rPr>
          <w:rFonts w:ascii="Calibri" w:eastAsia="Calibri" w:hAnsi="Calibri" w:cs="Times New Roman"/>
          <w:b/>
          <w:bCs/>
          <w:kern w:val="2"/>
          <w14:ligatures w14:val="standardContextual"/>
        </w:rPr>
        <w:t>Wykaz Badań Klinicznych realizowanych w USK nr 1 w Lublinie na dzień 06.10.2025r.</w:t>
      </w:r>
    </w:p>
    <w:tbl>
      <w:tblPr>
        <w:tblStyle w:val="Tabela-Siatka"/>
        <w:tblW w:w="9062" w:type="dxa"/>
        <w:tblInd w:w="-5" w:type="dxa"/>
        <w:tblLook w:val="04A0" w:firstRow="1" w:lastRow="0" w:firstColumn="1" w:lastColumn="0" w:noHBand="0" w:noVBand="1"/>
      </w:tblPr>
      <w:tblGrid>
        <w:gridCol w:w="2689"/>
        <w:gridCol w:w="3543"/>
        <w:gridCol w:w="2830"/>
      </w:tblGrid>
      <w:tr w:rsidR="001723FD" w14:paraId="54C09F44" w14:textId="77777777" w:rsidTr="001723FD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09B7B11" w14:textId="77777777" w:rsidR="001723FD" w:rsidRPr="006B75BB" w:rsidRDefault="001723FD" w:rsidP="001723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 Protokołu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D1636" w14:textId="77777777" w:rsidR="001723FD" w:rsidRPr="006B75BB" w:rsidRDefault="001723FD" w:rsidP="001723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 Badania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A0A0E" w14:textId="77777777" w:rsidR="001723FD" w:rsidRPr="006B75BB" w:rsidRDefault="001723FD" w:rsidP="001723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Klinika</w:t>
            </w:r>
          </w:p>
        </w:tc>
      </w:tr>
      <w:tr w:rsidR="001723FD" w14:paraId="2F99A850" w14:textId="77777777" w:rsidTr="001723FD">
        <w:trPr>
          <w:trHeight w:val="1942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AAC7FE" w14:textId="77777777" w:rsidR="001723FD" w:rsidRPr="006B75BB" w:rsidRDefault="001723FD" w:rsidP="001723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1698-302-007</w:t>
            </w:r>
          </w:p>
        </w:tc>
        <w:tc>
          <w:tcPr>
            <w:tcW w:w="3543" w:type="dxa"/>
            <w:tcBorders>
              <w:top w:val="single" w:sz="8" w:space="0" w:color="3F3F3F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C768BD" w14:textId="77777777" w:rsidR="001723FD" w:rsidRPr="006B75BB" w:rsidRDefault="001723FD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„Badanie kontynuacyjne mające na celu ocenę długoterminowego bezpieczeństwa i skuteczności bimatoprostu o przedłużonym uwalnianiu (sustained-release, SR) u pacjentów z jaskrą otwartego kąta albo nadciśnieniem wewnątrzgałkowym”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09F21B" w14:textId="77777777" w:rsidR="001723FD" w:rsidRPr="006B75BB" w:rsidRDefault="001723FD" w:rsidP="001723F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Kl. Diagnostyki I Mikrochirurgii Jaskry</w:t>
            </w:r>
          </w:p>
        </w:tc>
      </w:tr>
      <w:tr w:rsidR="001723FD" w14:paraId="7D2164A5" w14:textId="77777777" w:rsidTr="003658E6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DAC8E0" w14:textId="77777777" w:rsidR="001723FD" w:rsidRPr="006B75BB" w:rsidRDefault="001723FD" w:rsidP="001723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HLX04-O-wAMD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59129D" w14:textId="77777777" w:rsidR="001723FD" w:rsidRPr="006B75BB" w:rsidRDefault="001723FD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„Dwuczęściowe badanie kliniczne III fazy(badanie otwarte kontynuowane jako próba podwójnie maskowana z randomizacją i lekiem aktywnym w grupie kontrolnej), porównujące skuteczność i bezpieczeństwo podawanego doszklistkowo preparatu HLX04-O z ranibizumabem u chorych na związaną z wiekiem wysiękową postać zwyrodnienia plamki żółtej (wAMD)”</w:t>
            </w:r>
          </w:p>
        </w:tc>
        <w:tc>
          <w:tcPr>
            <w:tcW w:w="28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2BF7B0" w14:textId="77777777" w:rsidR="001723FD" w:rsidRPr="006B75BB" w:rsidRDefault="001723FD" w:rsidP="001723F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Kl. Chirurgii Siatkówki i Ciała Szklistego</w:t>
            </w:r>
          </w:p>
          <w:p w14:paraId="5DC9EEEE" w14:textId="77777777" w:rsidR="001723FD" w:rsidRPr="006B75BB" w:rsidRDefault="001723FD" w:rsidP="001723F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6E0120E" w14:textId="77777777" w:rsidR="001723FD" w:rsidRPr="006B75BB" w:rsidRDefault="001723FD" w:rsidP="001723F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723FD" w14:paraId="070AE76B" w14:textId="77777777" w:rsidTr="003658E6">
        <w:trPr>
          <w:trHeight w:val="41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0BAD" w14:textId="77777777" w:rsidR="001723FD" w:rsidRPr="006B75BB" w:rsidRDefault="001723FD" w:rsidP="001723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MR42410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Diagrid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9789" w14:textId="77777777" w:rsidR="001723FD" w:rsidRPr="00D94B33" w:rsidRDefault="001723FD" w:rsidP="00BD4D10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„Wieloośrodkowe, randomizowane badanie fazy III B z maskowaniem oceny ostrości wzroku, oceniające skuteczność i bezpieczeństwo stosowania 36-tygodniowej terapii z użyciem systemu terapeutycznego uwalniającego ranibizumab w sposób ciągły, w porównaniu z terapią afliberceptem w schemacie leczenia z wydłużaniem odstępów (TREAT&amp;EXTEND), u pacjentów z neowaskularną postacią zwyrodnienia plamki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związanego z wiekiem (DIAGRID)”</w:t>
            </w:r>
          </w:p>
        </w:tc>
        <w:tc>
          <w:tcPr>
            <w:tcW w:w="28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351246" w14:textId="77777777" w:rsidR="001723FD" w:rsidRPr="006B75BB" w:rsidRDefault="001723FD" w:rsidP="001723F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723FD" w14:paraId="7224C0A6" w14:textId="77777777" w:rsidTr="003658E6"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5C9B22" w14:textId="77777777" w:rsidR="001723FD" w:rsidRPr="006B75BB" w:rsidRDefault="001723FD" w:rsidP="001723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BP43445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B84816" w14:textId="77777777" w:rsidR="001723FD" w:rsidRDefault="001723FD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„Wieloośrodkowe, randomizowane, podwójnie zaślepione badanie II fazy z grupą kontrolną otrzymującą aktywne leczenie, mające na celu zbadanie skuteczności, bezpieczeństwa, tolerancji, farmakokinetyki i farmakodynamiki RO7200220 podawanego doszklistkowo u pacjentów z cukrzycowym obrzękiem plamki”</w:t>
            </w:r>
          </w:p>
          <w:p w14:paraId="6FB23A92" w14:textId="77777777" w:rsidR="001723FD" w:rsidRDefault="001723FD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37DF74A" w14:textId="77777777" w:rsidR="001723FD" w:rsidRDefault="001723FD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2849C4A" w14:textId="77777777" w:rsidR="001723FD" w:rsidRPr="006B75BB" w:rsidRDefault="001723FD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6C8486" w14:textId="77777777" w:rsidR="001723FD" w:rsidRPr="006B75BB" w:rsidRDefault="001723FD" w:rsidP="001723F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723FD" w14:paraId="3B60A45C" w14:textId="77777777" w:rsidTr="009B0DE9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FF9473" w14:textId="77777777" w:rsidR="001723FD" w:rsidRPr="006B75BB" w:rsidRDefault="001723FD" w:rsidP="001723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ALT-L9-03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EEA1DF" w14:textId="77777777" w:rsidR="001723FD" w:rsidRPr="006B75BB" w:rsidRDefault="001723FD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„Randomizowane wieloośrodkowe badanie fazy III prowadzone metodą podwójnie ślepej próby w grupach równoległych mające na celu porównanie skuteczności i bezpieczeństwa stosowania ALT-L9 w porównaniu z lekiem Eylea® u pacjentów z neowaskularną postacią zwyrodnienia plamki żółtej związanego z wiekiem”</w:t>
            </w:r>
          </w:p>
        </w:tc>
        <w:tc>
          <w:tcPr>
            <w:tcW w:w="2830" w:type="dxa"/>
            <w:vMerge w:val="restart"/>
          </w:tcPr>
          <w:p w14:paraId="7EC4B449" w14:textId="77777777" w:rsidR="001723FD" w:rsidRDefault="001723FD" w:rsidP="001723FD"/>
          <w:p w14:paraId="5B455146" w14:textId="77777777" w:rsidR="001723FD" w:rsidRPr="001723FD" w:rsidRDefault="001723FD" w:rsidP="001723FD"/>
          <w:p w14:paraId="0D4BD4E8" w14:textId="77777777" w:rsidR="001723FD" w:rsidRPr="001723FD" w:rsidRDefault="001723FD" w:rsidP="001723FD"/>
          <w:p w14:paraId="31338007" w14:textId="77777777" w:rsidR="001723FD" w:rsidRPr="001723FD" w:rsidRDefault="001723FD" w:rsidP="001723FD"/>
          <w:p w14:paraId="1FC36BC7" w14:textId="77777777" w:rsidR="001723FD" w:rsidRPr="001723FD" w:rsidRDefault="001723FD" w:rsidP="001723FD"/>
          <w:p w14:paraId="270A85F7" w14:textId="77777777" w:rsidR="001723FD" w:rsidRPr="001723FD" w:rsidRDefault="001723FD" w:rsidP="001723FD"/>
          <w:p w14:paraId="59C211F2" w14:textId="77777777" w:rsidR="001723FD" w:rsidRPr="001723FD" w:rsidRDefault="001723FD" w:rsidP="001723FD"/>
          <w:p w14:paraId="05375A1E" w14:textId="77777777" w:rsidR="001723FD" w:rsidRPr="001723FD" w:rsidRDefault="001723FD" w:rsidP="001723FD"/>
          <w:p w14:paraId="3788E546" w14:textId="77777777" w:rsidR="001723FD" w:rsidRDefault="001723FD" w:rsidP="001723FD"/>
          <w:p w14:paraId="19D086FF" w14:textId="77777777" w:rsidR="001723FD" w:rsidRPr="001723FD" w:rsidRDefault="001723FD" w:rsidP="001723FD"/>
          <w:p w14:paraId="6FD7B2EF" w14:textId="77777777" w:rsidR="001723FD" w:rsidRPr="001723FD" w:rsidRDefault="001723FD" w:rsidP="001723FD"/>
          <w:p w14:paraId="40F873E9" w14:textId="77777777" w:rsidR="001723FD" w:rsidRDefault="001723FD" w:rsidP="001723FD"/>
          <w:p w14:paraId="16837981" w14:textId="77777777" w:rsidR="001723FD" w:rsidRDefault="001723FD" w:rsidP="001723FD"/>
          <w:p w14:paraId="4CD904C2" w14:textId="77777777" w:rsidR="001723FD" w:rsidRDefault="001723FD" w:rsidP="001723FD">
            <w:pPr>
              <w:jc w:val="center"/>
            </w:pPr>
          </w:p>
          <w:p w14:paraId="3C985779" w14:textId="77777777" w:rsidR="001723FD" w:rsidRPr="001723FD" w:rsidRDefault="001723FD" w:rsidP="001723FD">
            <w:pPr>
              <w:jc w:val="center"/>
            </w:pPr>
            <w:r w:rsidRPr="001723FD">
              <w:t>Kl. Chirurgii Siatkówki i Ciała Szklistego</w:t>
            </w:r>
          </w:p>
        </w:tc>
      </w:tr>
      <w:tr w:rsidR="001723FD" w14:paraId="5FFCA855" w14:textId="77777777" w:rsidTr="001723FD">
        <w:trPr>
          <w:trHeight w:val="2944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7AADEE" w14:textId="77777777" w:rsidR="001723FD" w:rsidRPr="006B75BB" w:rsidRDefault="001723FD" w:rsidP="001723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GR44277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6F5E1F" w14:textId="77777777" w:rsidR="001723FD" w:rsidRDefault="001723FD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„Wieloośrodkowe, randomizowane, podwójnie zaślepione badanie fazy III z grupą kontrolną otrzymującą leczenie pozorowane, mające na celu zbadanie skuteczności, bezpieczeństwa, farmakokinetyki i farmakodynamiki RO7200220 podawanego doszklistkowo u pacjentów z obrzękiem plamki w przebiegu nieinfekcyjnego zapalenia błony nacyzniowej oka”</w:t>
            </w:r>
          </w:p>
          <w:p w14:paraId="2B7AC339" w14:textId="77777777" w:rsidR="001723FD" w:rsidRPr="006B75BB" w:rsidRDefault="001723FD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0" w:type="dxa"/>
            <w:vMerge/>
          </w:tcPr>
          <w:p w14:paraId="1FA03421" w14:textId="77777777" w:rsidR="001723FD" w:rsidRDefault="001723FD" w:rsidP="001723FD"/>
        </w:tc>
      </w:tr>
      <w:tr w:rsidR="00D2422F" w14:paraId="428ED4B3" w14:textId="77777777" w:rsidTr="000639B9">
        <w:tc>
          <w:tcPr>
            <w:tcW w:w="268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D2B69E" w14:textId="77777777" w:rsidR="00D2422F" w:rsidRPr="006B75BB" w:rsidRDefault="00D2422F" w:rsidP="001723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CA209-577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B4C144" w14:textId="77777777" w:rsidR="00D2422F" w:rsidRPr="00D94B33" w:rsidRDefault="00D2422F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„Randomizowane, wiloośrodkowe, prowadzone metodą podwójnie ślepej próby badanie kliniczne III fazy porównujące leczenie adjuwantowe niwolumabem z placebo u chorych po resekcji raka przełyku lub raka połączenia przełykowo-żołądkoweg</w:t>
            </w:r>
            <w:r w:rsidRPr="001723FD">
              <w:rPr>
                <w:rFonts w:ascii="Calibri" w:eastAsia="Times New Roman" w:hAnsi="Calibri" w:cs="Calibri"/>
                <w:color w:val="000000"/>
                <w:lang w:eastAsia="pl-PL"/>
              </w:rPr>
              <w:t>o”</w:t>
            </w:r>
          </w:p>
        </w:tc>
        <w:tc>
          <w:tcPr>
            <w:tcW w:w="2830" w:type="dxa"/>
            <w:vMerge w:val="restart"/>
          </w:tcPr>
          <w:p w14:paraId="3166F68A" w14:textId="77777777" w:rsidR="00D2422F" w:rsidRPr="001723FD" w:rsidRDefault="00D2422F" w:rsidP="001723FD"/>
          <w:p w14:paraId="560CE5BF" w14:textId="77777777" w:rsidR="00D2422F" w:rsidRPr="001723FD" w:rsidRDefault="00D2422F" w:rsidP="001723FD"/>
          <w:p w14:paraId="47D6BF05" w14:textId="77777777" w:rsidR="00D2422F" w:rsidRPr="001723FD" w:rsidRDefault="00D2422F" w:rsidP="001723FD"/>
          <w:p w14:paraId="146AF0E5" w14:textId="77777777" w:rsidR="00D2422F" w:rsidRDefault="00D2422F" w:rsidP="001723FD"/>
          <w:p w14:paraId="65A83F01" w14:textId="77777777" w:rsidR="00D2422F" w:rsidRPr="001723FD" w:rsidRDefault="00D2422F" w:rsidP="001723FD"/>
          <w:p w14:paraId="028603F3" w14:textId="77777777" w:rsidR="00D2422F" w:rsidRDefault="00D2422F" w:rsidP="001723FD"/>
          <w:p w14:paraId="6A523B0B" w14:textId="77777777" w:rsidR="00D2422F" w:rsidRDefault="00D2422F" w:rsidP="001723FD">
            <w:pPr>
              <w:jc w:val="center"/>
            </w:pPr>
          </w:p>
          <w:p w14:paraId="6FB016EC" w14:textId="77777777" w:rsidR="00D2422F" w:rsidRDefault="00D2422F" w:rsidP="001723F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E01988E" w14:textId="77777777" w:rsidR="00D2422F" w:rsidRPr="001723FD" w:rsidRDefault="00D2422F" w:rsidP="001723FD">
            <w:pPr>
              <w:jc w:val="center"/>
            </w:pPr>
            <w:r w:rsidRPr="001723FD">
              <w:rPr>
                <w:rFonts w:ascii="Calibri" w:eastAsia="Times New Roman" w:hAnsi="Calibri" w:cs="Calibri"/>
                <w:color w:val="000000"/>
                <w:lang w:eastAsia="pl-PL"/>
              </w:rPr>
              <w:t>Kl. Chirurgii Ogólnej</w:t>
            </w:r>
          </w:p>
          <w:p w14:paraId="5E465561" w14:textId="77777777" w:rsidR="00D2422F" w:rsidRDefault="00D2422F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B464341" w14:textId="77777777" w:rsidR="00D2422F" w:rsidRDefault="00D2422F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18EE65C" w14:textId="77777777" w:rsidR="00D2422F" w:rsidRDefault="00D2422F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22837C8" w14:textId="77777777" w:rsidR="00D2422F" w:rsidRDefault="00D2422F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16C4B3A" w14:textId="188C965D" w:rsidR="00D2422F" w:rsidRPr="001723FD" w:rsidRDefault="00D2422F" w:rsidP="00D2422F"/>
        </w:tc>
      </w:tr>
      <w:tr w:rsidR="00D2422F" w14:paraId="2E3FE9EE" w14:textId="77777777" w:rsidTr="00030262"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82AEB1" w14:textId="77777777" w:rsidR="00D2422F" w:rsidRPr="006B75BB" w:rsidRDefault="00D2422F" w:rsidP="001723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CA 209-648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4AA12" w14:textId="77777777" w:rsidR="00D2422F" w:rsidRPr="006B75BB" w:rsidRDefault="00D2422F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„Randomizowane badanie kliniczne fazy 3 porównujące leczenie skojarzone złożone z niwolumabu i ipilimumabu lub niwolumabu i fluorouracylu oraz cisplatyny z leczeniem skojarzonym fluorouracylem i cisplatyną stosowane u uprzednio nieleczonych pacjentów z nieoperacyjnym zaawansowanym, nawrotowym lub przerzutowym rakiem płaskonabłonkowym przełyku”</w:t>
            </w:r>
          </w:p>
        </w:tc>
        <w:tc>
          <w:tcPr>
            <w:tcW w:w="2830" w:type="dxa"/>
            <w:vMerge/>
          </w:tcPr>
          <w:p w14:paraId="62AD526C" w14:textId="3EB8437B" w:rsidR="00D2422F" w:rsidRDefault="00D2422F" w:rsidP="00BD4D10">
            <w:pPr>
              <w:jc w:val="center"/>
            </w:pPr>
          </w:p>
        </w:tc>
      </w:tr>
      <w:tr w:rsidR="00D2422F" w14:paraId="0C2B42E3" w14:textId="77777777" w:rsidTr="00CB7870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FE0A21" w14:textId="77777777" w:rsidR="00D2422F" w:rsidRPr="006B75BB" w:rsidRDefault="00D2422F" w:rsidP="001723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CP-MGAH22-06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D77673" w14:textId="77777777" w:rsidR="00D2422F" w:rsidRPr="006B75BB" w:rsidRDefault="00D2422F" w:rsidP="001723F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„Badanie 2/3 fazy mające na celu ocenę Margetuksymabu w skojarzeniu z INCMGA00012 i chemioterapią lub preparatu MGD013 z chemioterapią u pacjentów z przerzutowym lub miejscowo zaawansowanym, wcześniej nieleczonym, HER2-</w:t>
            </w: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dodatnim nowotworem żołądka lub nowotworem wpustu żołądka”</w:t>
            </w:r>
          </w:p>
        </w:tc>
        <w:tc>
          <w:tcPr>
            <w:tcW w:w="2830" w:type="dxa"/>
            <w:vMerge/>
          </w:tcPr>
          <w:p w14:paraId="4191A9C8" w14:textId="7F42A128" w:rsidR="00D2422F" w:rsidRDefault="00D2422F" w:rsidP="00BD4D10">
            <w:pPr>
              <w:jc w:val="center"/>
            </w:pPr>
          </w:p>
        </w:tc>
      </w:tr>
      <w:tr w:rsidR="00BD4D10" w14:paraId="74D34C2D" w14:textId="77777777" w:rsidTr="00AA4435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2B1C126" w14:textId="77777777" w:rsidR="00BD4D10" w:rsidRPr="006B75BB" w:rsidRDefault="00BD4D10" w:rsidP="001723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1527-GITCG-IG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4BC1F9" w14:textId="77777777" w:rsidR="00BD4D10" w:rsidRPr="006B75BB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„Obrazowanie zależne od dyfuzji metodą rezonansu magnetycznego (DW-MRI) w ocenie przerzutów do wątroby i poprawy leczenia chirurgicznego”</w:t>
            </w:r>
          </w:p>
        </w:tc>
        <w:tc>
          <w:tcPr>
            <w:tcW w:w="2830" w:type="dxa"/>
            <w:vMerge w:val="restart"/>
          </w:tcPr>
          <w:p w14:paraId="7D5D27F9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9D37656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06FBD40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9BC0B68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E0E4F60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607F15C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9C34E4E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49FF827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7FFC6A2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A742638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4EB0570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73C8464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7AF969E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631FE44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6F472DC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AE73AF1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3CCDAEF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4F7E32F" w14:textId="77777777" w:rsidR="00BD4D10" w:rsidRDefault="00BD4D10" w:rsidP="00BD4D10">
            <w:pPr>
              <w:jc w:val="center"/>
            </w:pPr>
            <w:r w:rsidRPr="00BD4D10">
              <w:rPr>
                <w:rFonts w:ascii="Calibri" w:eastAsia="Times New Roman" w:hAnsi="Calibri" w:cs="Calibri"/>
                <w:color w:val="000000"/>
                <w:lang w:eastAsia="pl-PL"/>
              </w:rPr>
              <w:t>Kl. Chirurgii Onkologicznej</w:t>
            </w:r>
          </w:p>
        </w:tc>
      </w:tr>
      <w:tr w:rsidR="00BD4D10" w14:paraId="7D2CD33F" w14:textId="77777777" w:rsidTr="00552955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1E4CD6" w14:textId="77777777" w:rsidR="00BD4D10" w:rsidRPr="006B75BB" w:rsidRDefault="00BD4D10" w:rsidP="00BD4D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20210098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FORTITUDE-101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769C90" w14:textId="77777777" w:rsidR="00BD4D10" w:rsidRPr="006B75BB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„Badanie kliniczne fazy Ib/III prowadzone w celu oceny zastosowania bemarituzumabu w połączeniu z chemioterapią oraz niwolumabem w porównaniu do zastosowania chemioterapii z niwolumabem u pacjentów z wcześniej nieleczonym zaawansowanym rakiem żołądka bądź połączenia żołądkowo-przełykowego z nadeksprecją białka FGFR2b (FORTITUDE-101)”</w:t>
            </w:r>
          </w:p>
        </w:tc>
        <w:tc>
          <w:tcPr>
            <w:tcW w:w="2830" w:type="dxa"/>
            <w:vMerge/>
          </w:tcPr>
          <w:p w14:paraId="43610C97" w14:textId="77777777" w:rsidR="00BD4D10" w:rsidRDefault="00BD4D10" w:rsidP="00BD4D10"/>
        </w:tc>
      </w:tr>
      <w:tr w:rsidR="00BD4D10" w14:paraId="0AAA810C" w14:textId="77777777" w:rsidTr="007053E8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B10249" w14:textId="77777777" w:rsidR="00BD4D10" w:rsidRPr="006B75BB" w:rsidRDefault="00BD4D10" w:rsidP="00BD4D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SDS-HER-01-2018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B181AA" w14:textId="77777777" w:rsidR="00BD4D10" w:rsidRPr="006B75BB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„Otwarte, wieloośrodkowe, jednoramienne badanie kliniczne bezpieczeństwa i skuteczności mikrosondy diagnostycznej (inPROBE) przeznaczonej do oceny ekspresji receptora HER2 w populacji kobiet z wysokim ryzykiem raka piersi”</w:t>
            </w:r>
          </w:p>
        </w:tc>
        <w:tc>
          <w:tcPr>
            <w:tcW w:w="2830" w:type="dxa"/>
            <w:vMerge/>
          </w:tcPr>
          <w:p w14:paraId="04C813C1" w14:textId="77777777" w:rsidR="00BD4D10" w:rsidRDefault="00BD4D10" w:rsidP="00BD4D10"/>
        </w:tc>
      </w:tr>
      <w:tr w:rsidR="00BD4D10" w14:paraId="4D94AFAB" w14:textId="77777777" w:rsidTr="00BD4D10">
        <w:trPr>
          <w:trHeight w:val="3718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256A19" w14:textId="77777777" w:rsidR="00BD4D10" w:rsidRPr="006B75BB" w:rsidRDefault="00BD4D10" w:rsidP="00BD4D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D4D1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STAR-221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641887" w14:textId="77777777" w:rsidR="00BD4D10" w:rsidRPr="006B75BB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4D10">
              <w:rPr>
                <w:rFonts w:ascii="Calibri" w:eastAsia="Times New Roman" w:hAnsi="Calibri" w:cs="Calibri"/>
                <w:color w:val="000000"/>
                <w:lang w:eastAsia="pl-PL"/>
              </w:rPr>
              <w:t>„Randomizowane, prowadzone metodą otwartej próby, wieloośrodkowe badanie fazy III oceniające stosowanie domwanalimabu, zimberelimabu i chemioterapii w porównaniu ze stosowaniem niwolumabu i chemioterapii u uczestników z wcześniej nieleczonym miejscowo zaawansowanym nieoperacyjnym lub przerzutowym gruczolakorakiem żołądka, połączenia żołądkowo-przełykowego i przełyku”</w:t>
            </w:r>
          </w:p>
        </w:tc>
        <w:tc>
          <w:tcPr>
            <w:tcW w:w="2830" w:type="dxa"/>
            <w:vMerge/>
          </w:tcPr>
          <w:p w14:paraId="530DA58B" w14:textId="77777777" w:rsidR="00BD4D10" w:rsidRDefault="00BD4D10" w:rsidP="00BD4D10"/>
        </w:tc>
      </w:tr>
      <w:tr w:rsidR="00BD4D10" w14:paraId="56D064BE" w14:textId="77777777" w:rsidTr="00450BA9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C241BB8" w14:textId="77777777" w:rsidR="00BD4D10" w:rsidRPr="006B75BB" w:rsidRDefault="00BD4D10" w:rsidP="00BD4D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D7025C00001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ARTEMIDE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518F" w14:textId="77777777" w:rsidR="00BD4D10" w:rsidRPr="006B75BB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Randomizowane, wieloośrodkowe, globalne badanie fazy III, prowadzone metodą podwójnie ślepej próby, kontrolowane za pomocą placebo, oceniające rilwegostoming w połączeniu z chemioterapią jako leczenie adjuwantowe po resekcji raka dróg żółciowych z zamiarem wyleczenia</w:t>
            </w:r>
          </w:p>
        </w:tc>
        <w:tc>
          <w:tcPr>
            <w:tcW w:w="2830" w:type="dxa"/>
            <w:vMerge w:val="restart"/>
          </w:tcPr>
          <w:p w14:paraId="216DD47C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D7D6481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E8558F8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CB2ED18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73EAB19" w14:textId="15976372" w:rsidR="00BD4D10" w:rsidRDefault="001E0F4A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Kl. Chorób Metabolicznych i Immunoonkologii</w:t>
            </w:r>
          </w:p>
          <w:p w14:paraId="3A36E82D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775D731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ECD72A1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AB35FAF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E6A8434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75EB19C" w14:textId="77777777" w:rsidR="00BD4D10" w:rsidRDefault="00BD4D10" w:rsidP="00BD4D10">
            <w:pPr>
              <w:jc w:val="center"/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Kl. Chorób Metabolicznych i Immunoonkologii</w:t>
            </w:r>
          </w:p>
        </w:tc>
      </w:tr>
      <w:tr w:rsidR="00BD4D10" w14:paraId="5D724A6E" w14:textId="77777777" w:rsidTr="00450BA9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3B5BA46" w14:textId="77777777" w:rsidR="00BD4D10" w:rsidRPr="006B75BB" w:rsidRDefault="00BD4D10" w:rsidP="00BD4D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D9802C00001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CLARITY-GASTRIC01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BC76" w14:textId="77777777" w:rsidR="00BD4D10" w:rsidRPr="006B75BB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Wieloośrodkowe, prowadzone metodą otwartej próby, zaślepione dla Sponsora, randomizowane badanie III fazy porównujące AZD0901 w monoterapii z terapią zgodną z wyborem Głównego Badacza u pacjentów w drugiej lub kolejnej linii leczenia zaawansowanego/przerzutowego raka gruczołowego żołądka lub połączenia przełykowo-żołądkowego wykazującego ekspresję białka Klaudyny 18.2.</w:t>
            </w:r>
          </w:p>
        </w:tc>
        <w:tc>
          <w:tcPr>
            <w:tcW w:w="2830" w:type="dxa"/>
            <w:vMerge/>
          </w:tcPr>
          <w:p w14:paraId="4CC5DB13" w14:textId="77777777" w:rsidR="00BD4D10" w:rsidRDefault="00BD4D10" w:rsidP="00BD4D10"/>
        </w:tc>
      </w:tr>
      <w:tr w:rsidR="00BD4D10" w14:paraId="0958594D" w14:textId="77777777" w:rsidTr="00810C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58B3" w14:textId="77777777" w:rsidR="00BD4D10" w:rsidRPr="006B75BB" w:rsidRDefault="00BD4D10" w:rsidP="00BD4D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RD.06.SPR 202699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6C5F" w14:textId="77777777" w:rsidR="00BD4D10" w:rsidRPr="006B75BB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„Prospektywne, wiloośrodkowe, długoterminowe badanie mające na celu ocenę bezpieczeństwa stosowania i skuteczności nemolizumabu (CD14152) u uczestników ze świerzbiączką guzkową”</w:t>
            </w:r>
          </w:p>
        </w:tc>
        <w:tc>
          <w:tcPr>
            <w:tcW w:w="2830" w:type="dxa"/>
            <w:vMerge w:val="restart"/>
          </w:tcPr>
          <w:p w14:paraId="02F34BD6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AB1039E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3E4AB0E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682FCB8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A26075F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FF589F9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9BAF3B7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424A0A7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C33F319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001C40C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ECAE284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860B9D9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1C66FC9" w14:textId="77777777" w:rsidR="00BD4D10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4BB1D1B" w14:textId="77777777" w:rsidR="00BD4D10" w:rsidRDefault="00BD4D10" w:rsidP="00BD4D10">
            <w:pPr>
              <w:jc w:val="center"/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Kl. Dermatologii, Wenerologii i Dermatologii Dziecięcej</w:t>
            </w:r>
          </w:p>
        </w:tc>
      </w:tr>
      <w:tr w:rsidR="00BD4D10" w14:paraId="213FD84F" w14:textId="77777777" w:rsidTr="00A12C33"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6683D7" w14:textId="77777777" w:rsidR="00BD4D10" w:rsidRPr="006B75BB" w:rsidRDefault="00BD4D10" w:rsidP="00BD4D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RD.06.SPR118163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3F3F3F"/>
              <w:right w:val="single" w:sz="4" w:space="0" w:color="auto"/>
            </w:tcBorders>
            <w:vAlign w:val="center"/>
          </w:tcPr>
          <w:p w14:paraId="00DC90AC" w14:textId="77777777" w:rsidR="00BD4D10" w:rsidRPr="006B75BB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„Prospektywne, wieloośrodkowe, długoterminowe badanie mające na celu ocenę bezpieczeństwa stosowania i skuteczności nemolizumabu (CD14152) u uczestników z atopowym zapaleniem skóry o 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sileniu od umiarkowanego do cięż</w:t>
            </w: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kiego”</w:t>
            </w:r>
          </w:p>
        </w:tc>
        <w:tc>
          <w:tcPr>
            <w:tcW w:w="2830" w:type="dxa"/>
            <w:vMerge/>
          </w:tcPr>
          <w:p w14:paraId="28A6C77D" w14:textId="77777777" w:rsidR="00BD4D10" w:rsidRDefault="00BD4D10" w:rsidP="00BD4D10"/>
        </w:tc>
      </w:tr>
      <w:tr w:rsidR="00BD4D10" w14:paraId="1C5D0CF7" w14:textId="77777777" w:rsidTr="00A12C33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5A2222" w14:textId="77777777" w:rsidR="00BD4D10" w:rsidRPr="006B75BB" w:rsidRDefault="00BD4D10" w:rsidP="00BD4D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D4D1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M-17923-32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3F3F3F"/>
              <w:right w:val="single" w:sz="4" w:space="0" w:color="auto"/>
            </w:tcBorders>
            <w:vAlign w:val="center"/>
          </w:tcPr>
          <w:p w14:paraId="01DC42DE" w14:textId="77777777" w:rsidR="00BD4D10" w:rsidRPr="006B75BB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„Dwuletnie, prowadzone metodą otwartej próby badanie kontynuacyjne, mające na celu ocenę długoterminowego bezpieczeństwa i skuteczności lebrikizumabu u dorosłych i młodzieży z atopowym zapaleniem skóry o nasileniu od umiarkowanego do ciężkiego”</w:t>
            </w:r>
          </w:p>
        </w:tc>
        <w:tc>
          <w:tcPr>
            <w:tcW w:w="2830" w:type="dxa"/>
            <w:vMerge/>
          </w:tcPr>
          <w:p w14:paraId="79FDE592" w14:textId="77777777" w:rsidR="00BD4D10" w:rsidRDefault="00BD4D10" w:rsidP="00BD4D10"/>
        </w:tc>
      </w:tr>
      <w:tr w:rsidR="00BD4D10" w14:paraId="54462C27" w14:textId="77777777" w:rsidTr="000720FA">
        <w:trPr>
          <w:trHeight w:val="12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165B" w14:textId="77777777" w:rsidR="00BD4D10" w:rsidRPr="006B75BB" w:rsidRDefault="00BD4D10" w:rsidP="00BD4D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IFX-1-P3.4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647E" w14:textId="77777777" w:rsidR="00BD4D10" w:rsidRPr="006B75BB" w:rsidRDefault="00BD4D10" w:rsidP="00BD4D1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“WIELOOŚRODKOWE, RANDOMIZOWANE, PROWADZONE METODĄ PODWÓJNIE ŚLEPEJ PRÓBY ADAPTACYJNE BADANIE FAZY III MAJĄCE NA CELU ZBADANIE SKUTECZNOŚCI I BEZPIECZEŃSTWA STOSOWANIA VILOBELIMABU W LECZENIU WRZODZIEJĄCEJ PIODERMII ZGORZELINOWEJ”</w:t>
            </w:r>
          </w:p>
        </w:tc>
        <w:tc>
          <w:tcPr>
            <w:tcW w:w="2830" w:type="dxa"/>
            <w:vMerge/>
          </w:tcPr>
          <w:p w14:paraId="586921E5" w14:textId="77777777" w:rsidR="00BD4D10" w:rsidRDefault="00BD4D10" w:rsidP="00BD4D10"/>
        </w:tc>
      </w:tr>
      <w:tr w:rsidR="000720FA" w14:paraId="0E0B2AAA" w14:textId="77777777" w:rsidTr="001855DF"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18A578" w14:textId="77777777" w:rsidR="000720FA" w:rsidRPr="006B75BB" w:rsidRDefault="000720FA" w:rsidP="000720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CO-338-087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D94B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ATHENA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A325" w14:textId="77777777" w:rsidR="000720FA" w:rsidRPr="006B75BB" w:rsidRDefault="000720FA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„Wieloośrodkowe, randomizowane, badanie III fazy, z podwójnie ślepą próbą i kontrolą placebo, oceniające rucaparib i niwolumab jako leczenie podtrzymujące u pacjentek z rakiem </w:t>
            </w: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jajnika po wystąpieniu odpowiedzi na chemioterapię pierwszego rzutu opartą na związku platyny”</w:t>
            </w:r>
          </w:p>
        </w:tc>
        <w:tc>
          <w:tcPr>
            <w:tcW w:w="2830" w:type="dxa"/>
            <w:vMerge w:val="restart"/>
          </w:tcPr>
          <w:p w14:paraId="5ECF7EE8" w14:textId="77777777" w:rsidR="000720FA" w:rsidRDefault="000720FA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9447A86" w14:textId="77777777" w:rsidR="000720FA" w:rsidRDefault="000720FA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31D4444" w14:textId="41BE532B" w:rsidR="000720FA" w:rsidRDefault="001E0F4A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Kl. Ginekologii Onkologicznej i Ginekologii</w:t>
            </w:r>
          </w:p>
          <w:p w14:paraId="04D0B987" w14:textId="77777777" w:rsidR="000720FA" w:rsidRDefault="000720FA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66A14D5" w14:textId="77777777" w:rsidR="000720FA" w:rsidRDefault="000720FA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EAE1056" w14:textId="77777777" w:rsidR="000720FA" w:rsidRDefault="000720FA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6B58EBB" w14:textId="77777777" w:rsidR="000720FA" w:rsidRDefault="000720FA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E316D74" w14:textId="77777777" w:rsidR="000720FA" w:rsidRDefault="000720FA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940ECF4" w14:textId="77777777" w:rsidR="000720FA" w:rsidRDefault="000720FA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ACF498C" w14:textId="77777777" w:rsidR="000720FA" w:rsidRDefault="000720FA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D4551E9" w14:textId="77777777" w:rsidR="000720FA" w:rsidRDefault="000720FA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7640726" w14:textId="77777777" w:rsidR="000720FA" w:rsidRDefault="000720FA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3731CCA" w14:textId="77777777" w:rsidR="000720FA" w:rsidRDefault="000720FA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2243F02" w14:textId="77777777" w:rsidR="000720FA" w:rsidRDefault="000720FA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3921077" w14:textId="77777777" w:rsidR="000720FA" w:rsidRDefault="000720FA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58E4574" w14:textId="77777777" w:rsidR="000720FA" w:rsidRDefault="000720FA" w:rsidP="000720FA">
            <w:pPr>
              <w:jc w:val="center"/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Kl. Ginekologii Onkologicznej i Ginekologii</w:t>
            </w:r>
          </w:p>
        </w:tc>
      </w:tr>
      <w:tr w:rsidR="000720FA" w14:paraId="6CA5D59D" w14:textId="77777777" w:rsidTr="000720FA">
        <w:trPr>
          <w:trHeight w:val="36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8616" w14:textId="77777777" w:rsidR="000720FA" w:rsidRPr="006B75BB" w:rsidRDefault="000720FA" w:rsidP="000720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D9311C00001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DUO-E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DB06" w14:textId="77777777" w:rsidR="000720FA" w:rsidRPr="006B75BB" w:rsidRDefault="000720FA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„Randomizowane, wieloośrodkowe, prowadzone metodą podwójnie ślepej próby, kontrolowane placebo, badanie 3 fazy oceniające leczenie pierwszego rzutu karboplatyną i paklitakselem w skojarzeniu z durwalumabem z następowym leczeniem podtrzymującym durwalumabem z lub bez olaparybu u pacjentek z nowo zdiagnozowanym zaawansowanym lub nawracającym rakiem endometrium (DUO-E)”</w:t>
            </w:r>
          </w:p>
        </w:tc>
        <w:tc>
          <w:tcPr>
            <w:tcW w:w="2830" w:type="dxa"/>
            <w:vMerge/>
          </w:tcPr>
          <w:p w14:paraId="40E357A3" w14:textId="77777777" w:rsidR="000720FA" w:rsidRDefault="000720FA" w:rsidP="000720FA"/>
        </w:tc>
      </w:tr>
      <w:tr w:rsidR="000720FA" w14:paraId="5E29D6DF" w14:textId="77777777" w:rsidTr="000720FA">
        <w:trPr>
          <w:trHeight w:val="359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DA3A" w14:textId="77777777" w:rsidR="000720FA" w:rsidRPr="006B75BB" w:rsidRDefault="000720FA" w:rsidP="000720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IMGN853-0416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MIRASOL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B605" w14:textId="77777777" w:rsidR="000720FA" w:rsidRPr="006B75BB" w:rsidRDefault="000720FA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„MIRASOL: Randomizowane badanie fazy III prowadzone metodą otwartej próby oceniające substancję Mirvetuximab Soravtansine w porównaniu z wybraną przez badacza chemioterapią w leczeniu zaawansowanego, opornego na związki platyny nabłonkowego raka jajnika, pierwotnego raka otrzewnej lub raka jajowodu o wysokich stopniach złośliwości z wysoką ekspresją receptora folianowego alfa”</w:t>
            </w:r>
          </w:p>
        </w:tc>
        <w:tc>
          <w:tcPr>
            <w:tcW w:w="2830" w:type="dxa"/>
            <w:vMerge/>
          </w:tcPr>
          <w:p w14:paraId="64139436" w14:textId="77777777" w:rsidR="000720FA" w:rsidRDefault="000720FA" w:rsidP="000720FA"/>
        </w:tc>
      </w:tr>
      <w:tr w:rsidR="0049400E" w14:paraId="09E5F4D7" w14:textId="77777777" w:rsidTr="00D2422F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252180" w14:textId="77777777" w:rsidR="0049400E" w:rsidRPr="006B75BB" w:rsidRDefault="0049400E" w:rsidP="000720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ACE-CL-007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E1F9" w14:textId="77777777" w:rsidR="0049400E" w:rsidRPr="006B75BB" w:rsidRDefault="0049400E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"Randomizowane, wieloośrodkowe badanie fazy III prowadzone metodą otwartej próby w trzech grupach nieleczonych wcześniej pacjentów z przewlekłą białaczką limfatyczną przyjmmującyh: obinutuzumab w skojarzeniu z chlorambucylem, ACP-196 w skojarzeniu z obinutuzumabem oraz ACP-196 w monoterapii"</w:t>
            </w:r>
          </w:p>
        </w:tc>
        <w:tc>
          <w:tcPr>
            <w:tcW w:w="2830" w:type="dxa"/>
            <w:vMerge w:val="restart"/>
            <w:vAlign w:val="center"/>
          </w:tcPr>
          <w:p w14:paraId="0D23E953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5BABCCA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7E96E98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144958F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483B1DE" w14:textId="77777777" w:rsidR="0049400E" w:rsidRDefault="0049400E" w:rsidP="00D2422F">
            <w:pPr>
              <w:jc w:val="center"/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Kl. Hematoonkologii i Transplantacji Szpiku</w:t>
            </w:r>
          </w:p>
          <w:p w14:paraId="3B4B57A2" w14:textId="77777777" w:rsidR="0049400E" w:rsidRDefault="0049400E" w:rsidP="00D2422F">
            <w:pPr>
              <w:jc w:val="center"/>
            </w:pPr>
          </w:p>
          <w:p w14:paraId="546DAE5A" w14:textId="77777777" w:rsidR="0049400E" w:rsidRPr="002B24E0" w:rsidRDefault="0049400E" w:rsidP="00D2422F">
            <w:pPr>
              <w:jc w:val="center"/>
            </w:pPr>
          </w:p>
          <w:p w14:paraId="0EC69DFF" w14:textId="77777777" w:rsidR="0049400E" w:rsidRPr="002B24E0" w:rsidRDefault="0049400E" w:rsidP="00D2422F">
            <w:pPr>
              <w:jc w:val="center"/>
            </w:pPr>
          </w:p>
          <w:p w14:paraId="74A7F74E" w14:textId="77777777" w:rsidR="0049400E" w:rsidRPr="002B24E0" w:rsidRDefault="0049400E" w:rsidP="00D2422F">
            <w:pPr>
              <w:jc w:val="center"/>
            </w:pPr>
          </w:p>
          <w:p w14:paraId="6AC769F6" w14:textId="77777777" w:rsidR="0049400E" w:rsidRPr="002B24E0" w:rsidRDefault="0049400E" w:rsidP="00D2422F">
            <w:pPr>
              <w:jc w:val="center"/>
            </w:pPr>
          </w:p>
          <w:p w14:paraId="7F3901AB" w14:textId="77777777" w:rsidR="0049400E" w:rsidRPr="002B24E0" w:rsidRDefault="0049400E" w:rsidP="00D2422F">
            <w:pPr>
              <w:jc w:val="center"/>
            </w:pPr>
          </w:p>
          <w:p w14:paraId="4901EE56" w14:textId="77777777" w:rsidR="0049400E" w:rsidRPr="002B24E0" w:rsidRDefault="0049400E" w:rsidP="00D2422F">
            <w:pPr>
              <w:jc w:val="center"/>
            </w:pPr>
          </w:p>
          <w:p w14:paraId="6A2144C3" w14:textId="77777777" w:rsidR="0049400E" w:rsidRPr="002B24E0" w:rsidRDefault="0049400E" w:rsidP="00D2422F">
            <w:pPr>
              <w:jc w:val="center"/>
            </w:pPr>
          </w:p>
          <w:p w14:paraId="1957DFC8" w14:textId="77777777" w:rsidR="0049400E" w:rsidRPr="002B24E0" w:rsidRDefault="0049400E" w:rsidP="00D2422F">
            <w:pPr>
              <w:jc w:val="center"/>
            </w:pPr>
          </w:p>
          <w:p w14:paraId="5B30C78F" w14:textId="77777777" w:rsidR="0049400E" w:rsidRPr="002B24E0" w:rsidRDefault="0049400E" w:rsidP="00D2422F">
            <w:pPr>
              <w:jc w:val="center"/>
            </w:pPr>
          </w:p>
          <w:p w14:paraId="796492DC" w14:textId="77777777" w:rsidR="0049400E" w:rsidRPr="002B24E0" w:rsidRDefault="0049400E" w:rsidP="00D2422F">
            <w:pPr>
              <w:jc w:val="center"/>
            </w:pPr>
          </w:p>
          <w:p w14:paraId="226300ED" w14:textId="77777777" w:rsidR="0049400E" w:rsidRDefault="0049400E" w:rsidP="00D2422F">
            <w:pPr>
              <w:jc w:val="center"/>
            </w:pPr>
          </w:p>
          <w:p w14:paraId="4B275971" w14:textId="77777777" w:rsidR="0049400E" w:rsidRPr="002B24E0" w:rsidRDefault="0049400E" w:rsidP="00D2422F">
            <w:pPr>
              <w:jc w:val="center"/>
            </w:pPr>
          </w:p>
          <w:p w14:paraId="3F9F199F" w14:textId="77777777" w:rsidR="0049400E" w:rsidRPr="002B24E0" w:rsidRDefault="0049400E" w:rsidP="00D2422F">
            <w:pPr>
              <w:jc w:val="center"/>
            </w:pPr>
          </w:p>
          <w:p w14:paraId="55A6ACDF" w14:textId="77777777" w:rsidR="0049400E" w:rsidRPr="002B24E0" w:rsidRDefault="0049400E" w:rsidP="00D2422F">
            <w:pPr>
              <w:jc w:val="center"/>
            </w:pPr>
          </w:p>
          <w:p w14:paraId="7642C51E" w14:textId="77777777" w:rsidR="0049400E" w:rsidRPr="002B24E0" w:rsidRDefault="0049400E" w:rsidP="00D2422F">
            <w:pPr>
              <w:jc w:val="center"/>
            </w:pPr>
          </w:p>
          <w:p w14:paraId="7A91157E" w14:textId="77777777" w:rsidR="0049400E" w:rsidRDefault="0049400E" w:rsidP="00D2422F">
            <w:pPr>
              <w:jc w:val="center"/>
            </w:pPr>
          </w:p>
          <w:p w14:paraId="2AF27DE2" w14:textId="77777777" w:rsidR="0049400E" w:rsidRPr="002B24E0" w:rsidRDefault="0049400E" w:rsidP="00D2422F">
            <w:pPr>
              <w:jc w:val="center"/>
            </w:pPr>
          </w:p>
          <w:p w14:paraId="33D40B5D" w14:textId="77777777" w:rsidR="0049400E" w:rsidRDefault="0049400E" w:rsidP="00D2422F">
            <w:pPr>
              <w:jc w:val="center"/>
            </w:pPr>
          </w:p>
          <w:p w14:paraId="68C4B477" w14:textId="77777777" w:rsidR="0049400E" w:rsidRDefault="0049400E" w:rsidP="00D2422F">
            <w:pPr>
              <w:jc w:val="center"/>
            </w:pPr>
          </w:p>
          <w:p w14:paraId="5D4C3696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FD6EDE9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371E02F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C03B9E2" w14:textId="77777777" w:rsidR="0049400E" w:rsidRDefault="0049400E" w:rsidP="00D2422F">
            <w:pPr>
              <w:jc w:val="center"/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Kl. Hematoonkologii i Transplantacji Szpiku</w:t>
            </w:r>
          </w:p>
          <w:p w14:paraId="06E11CAD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515C908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FCDE384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6E1DA15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9624D89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EAC249A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54D4052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A9D4B81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8183DB9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5D95A0E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7AA830F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531D268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312E8DC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2229AEA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4CFBDCA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CC0F90E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9E5A0A4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1A19B4D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089CA86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68BC6AD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A0344CC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DBFFD67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C3F75C7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45C1FEB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3C04E76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579772F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72D892C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B4435B3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5B24A2A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75AC4AE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0E64918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64ADAC2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758B18C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5B34152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C454868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A6CE3DE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5D69227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D8A7AD7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DC29985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1DDEB0E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3731166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B1381F2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06BFDC3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B54A0DF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9C823CD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51F287C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216A44E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1317531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EBAB1F7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8B7448C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A7B49CD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373417A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BD028C4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D39CC90" w14:textId="77777777" w:rsidR="0049400E" w:rsidRDefault="0049400E" w:rsidP="00D2422F">
            <w:pPr>
              <w:jc w:val="center"/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Kl. Hematoonkologii i Transplantacji Szpiku</w:t>
            </w:r>
          </w:p>
          <w:p w14:paraId="00B4A565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89E0DDB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286484D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4907F39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66D91F7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485658F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C95D49A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B09CD84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21E3C48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CFB95C3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AAD1A34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DD317DA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646F3AB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AFEA90F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6A8784A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81BB8E7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A913FE0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14C3291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33CB55F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B06EF66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41B1FDA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FA1DB84" w14:textId="77777777" w:rsidR="0049400E" w:rsidRDefault="0049400E" w:rsidP="00D2422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4C9E0B0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FBD7450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223F9A1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92C63CA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6FD0F1B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53946AA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158C905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6246F74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ED4762F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7C68FAB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7823523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93D6B64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44D8F7B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E862557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B537BA1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CBAC799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4881904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4347F86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D0D260C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C79898E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D9ED558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16B52C2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D52A262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62C757F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2A4788F" w14:textId="77777777" w:rsidR="0049400E" w:rsidRDefault="0049400E" w:rsidP="00223CD7">
            <w:pPr>
              <w:jc w:val="center"/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Kl. Hematoonkologii i Transplantacji Szpiku</w:t>
            </w:r>
          </w:p>
          <w:p w14:paraId="1AB1BD53" w14:textId="77777777" w:rsidR="0049400E" w:rsidRDefault="0049400E" w:rsidP="002B24E0"/>
          <w:p w14:paraId="2FB8D58C" w14:textId="77777777" w:rsidR="0049400E" w:rsidRPr="00223CD7" w:rsidRDefault="0049400E" w:rsidP="00223CD7"/>
          <w:p w14:paraId="60E51EC5" w14:textId="77777777" w:rsidR="0049400E" w:rsidRPr="00223CD7" w:rsidRDefault="0049400E" w:rsidP="00223CD7"/>
          <w:p w14:paraId="50DA4D46" w14:textId="77777777" w:rsidR="0049400E" w:rsidRPr="00223CD7" w:rsidRDefault="0049400E" w:rsidP="00223CD7"/>
          <w:p w14:paraId="61D34ADF" w14:textId="77777777" w:rsidR="0049400E" w:rsidRPr="00223CD7" w:rsidRDefault="0049400E" w:rsidP="00223CD7"/>
          <w:p w14:paraId="01EC420E" w14:textId="77777777" w:rsidR="0049400E" w:rsidRPr="00223CD7" w:rsidRDefault="0049400E" w:rsidP="00223CD7"/>
          <w:p w14:paraId="5FAEBBEC" w14:textId="77777777" w:rsidR="0049400E" w:rsidRPr="00223CD7" w:rsidRDefault="0049400E" w:rsidP="00223CD7"/>
          <w:p w14:paraId="4D6C265A" w14:textId="77777777" w:rsidR="0049400E" w:rsidRPr="00223CD7" w:rsidRDefault="0049400E" w:rsidP="00223CD7"/>
          <w:p w14:paraId="49081E77" w14:textId="77777777" w:rsidR="0049400E" w:rsidRPr="00223CD7" w:rsidRDefault="0049400E" w:rsidP="00223CD7"/>
          <w:p w14:paraId="578597EA" w14:textId="77777777" w:rsidR="0049400E" w:rsidRPr="00223CD7" w:rsidRDefault="0049400E" w:rsidP="00223CD7"/>
          <w:p w14:paraId="3B21E04C" w14:textId="77777777" w:rsidR="0049400E" w:rsidRPr="00223CD7" w:rsidRDefault="0049400E" w:rsidP="00223CD7"/>
          <w:p w14:paraId="1DA699DB" w14:textId="77777777" w:rsidR="0049400E" w:rsidRDefault="0049400E" w:rsidP="00223CD7"/>
          <w:p w14:paraId="1B691CA9" w14:textId="77777777" w:rsidR="0049400E" w:rsidRPr="00223CD7" w:rsidRDefault="0049400E" w:rsidP="00223CD7"/>
          <w:p w14:paraId="2A7D386B" w14:textId="77777777" w:rsidR="0049400E" w:rsidRPr="00223CD7" w:rsidRDefault="0049400E" w:rsidP="00223CD7"/>
          <w:p w14:paraId="20EA1D1E" w14:textId="77777777" w:rsidR="0049400E" w:rsidRPr="00223CD7" w:rsidRDefault="0049400E" w:rsidP="00223CD7"/>
          <w:p w14:paraId="506BBCDF" w14:textId="77777777" w:rsidR="0049400E" w:rsidRPr="00223CD7" w:rsidRDefault="0049400E" w:rsidP="00223CD7"/>
          <w:p w14:paraId="5039A0F6" w14:textId="77777777" w:rsidR="0049400E" w:rsidRDefault="0049400E" w:rsidP="00223CD7"/>
          <w:p w14:paraId="4DE0D110" w14:textId="77777777" w:rsidR="0049400E" w:rsidRPr="00223CD7" w:rsidRDefault="0049400E" w:rsidP="00223CD7"/>
          <w:p w14:paraId="44C12888" w14:textId="77777777" w:rsidR="0049400E" w:rsidRDefault="0049400E" w:rsidP="00223CD7"/>
          <w:p w14:paraId="413CBB74" w14:textId="77777777" w:rsidR="0049400E" w:rsidRDefault="0049400E" w:rsidP="00223CD7"/>
          <w:p w14:paraId="51F02702" w14:textId="77777777" w:rsidR="0049400E" w:rsidRDefault="0049400E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CB23956" w14:textId="77777777" w:rsidR="0049400E" w:rsidRDefault="0049400E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6285C12" w14:textId="77777777" w:rsidR="0049400E" w:rsidRDefault="0049400E" w:rsidP="00223CD7">
            <w:pPr>
              <w:jc w:val="center"/>
            </w:pPr>
          </w:p>
          <w:p w14:paraId="55700409" w14:textId="77777777" w:rsidR="0049400E" w:rsidRDefault="0049400E" w:rsidP="00223CD7">
            <w:pPr>
              <w:jc w:val="center"/>
            </w:pPr>
          </w:p>
          <w:p w14:paraId="5258E4D0" w14:textId="77777777" w:rsidR="0049400E" w:rsidRDefault="0049400E" w:rsidP="00223CD7">
            <w:pPr>
              <w:jc w:val="center"/>
            </w:pPr>
          </w:p>
          <w:p w14:paraId="6767310B" w14:textId="77777777" w:rsidR="0049400E" w:rsidRDefault="0049400E" w:rsidP="00223CD7">
            <w:pPr>
              <w:jc w:val="center"/>
            </w:pPr>
          </w:p>
          <w:p w14:paraId="09152A86" w14:textId="77777777" w:rsidR="0049400E" w:rsidRDefault="0049400E" w:rsidP="00223CD7">
            <w:pPr>
              <w:jc w:val="center"/>
            </w:pPr>
          </w:p>
          <w:p w14:paraId="6B9BEE94" w14:textId="77777777" w:rsidR="0049400E" w:rsidRDefault="0049400E" w:rsidP="00223CD7">
            <w:pPr>
              <w:jc w:val="center"/>
            </w:pPr>
          </w:p>
          <w:p w14:paraId="5DAE7422" w14:textId="77777777" w:rsidR="0049400E" w:rsidRDefault="0049400E" w:rsidP="00223CD7">
            <w:pPr>
              <w:jc w:val="center"/>
            </w:pPr>
          </w:p>
          <w:p w14:paraId="01897750" w14:textId="77777777" w:rsidR="0049400E" w:rsidRDefault="0049400E" w:rsidP="00223CD7">
            <w:pPr>
              <w:jc w:val="center"/>
            </w:pPr>
          </w:p>
          <w:p w14:paraId="157C1BE8" w14:textId="77777777" w:rsidR="0049400E" w:rsidRDefault="0049400E" w:rsidP="00223CD7">
            <w:pPr>
              <w:jc w:val="center"/>
            </w:pPr>
          </w:p>
          <w:p w14:paraId="2D1463D3" w14:textId="77777777" w:rsidR="0049400E" w:rsidRDefault="0049400E" w:rsidP="00223CD7">
            <w:pPr>
              <w:jc w:val="center"/>
            </w:pPr>
          </w:p>
          <w:p w14:paraId="5F2814DF" w14:textId="77777777" w:rsidR="0049400E" w:rsidRDefault="0049400E" w:rsidP="00223CD7">
            <w:pPr>
              <w:jc w:val="center"/>
            </w:pPr>
          </w:p>
          <w:p w14:paraId="157D7746" w14:textId="77777777" w:rsidR="0049400E" w:rsidRDefault="0049400E" w:rsidP="00223CD7">
            <w:pPr>
              <w:jc w:val="center"/>
            </w:pPr>
          </w:p>
          <w:p w14:paraId="2F1EDDAD" w14:textId="77777777" w:rsidR="0049400E" w:rsidRDefault="0049400E" w:rsidP="00223CD7">
            <w:pPr>
              <w:jc w:val="center"/>
            </w:pPr>
          </w:p>
          <w:p w14:paraId="6305FBA1" w14:textId="77777777" w:rsidR="0049400E" w:rsidRDefault="0049400E" w:rsidP="00223CD7">
            <w:pPr>
              <w:jc w:val="center"/>
            </w:pPr>
          </w:p>
          <w:p w14:paraId="644645F1" w14:textId="77777777" w:rsidR="0049400E" w:rsidRDefault="0049400E" w:rsidP="00223CD7">
            <w:pPr>
              <w:jc w:val="center"/>
            </w:pPr>
          </w:p>
          <w:p w14:paraId="5D49F556" w14:textId="77777777" w:rsidR="0049400E" w:rsidRDefault="0049400E" w:rsidP="00223CD7">
            <w:pPr>
              <w:jc w:val="center"/>
            </w:pPr>
          </w:p>
          <w:p w14:paraId="6B07EAAD" w14:textId="77777777" w:rsidR="0049400E" w:rsidRDefault="0049400E" w:rsidP="00223CD7">
            <w:pPr>
              <w:jc w:val="center"/>
            </w:pPr>
          </w:p>
          <w:p w14:paraId="339C3707" w14:textId="77777777" w:rsidR="0049400E" w:rsidRDefault="0049400E" w:rsidP="00223CD7">
            <w:pPr>
              <w:jc w:val="center"/>
            </w:pPr>
          </w:p>
          <w:p w14:paraId="5EFF0745" w14:textId="77777777" w:rsidR="0049400E" w:rsidRDefault="0049400E" w:rsidP="00223CD7">
            <w:pPr>
              <w:jc w:val="center"/>
            </w:pPr>
          </w:p>
          <w:p w14:paraId="7B5FE23C" w14:textId="77777777" w:rsidR="0049400E" w:rsidRDefault="0049400E" w:rsidP="00223CD7">
            <w:pPr>
              <w:jc w:val="center"/>
            </w:pPr>
          </w:p>
          <w:p w14:paraId="7A599B55" w14:textId="77777777" w:rsidR="0049400E" w:rsidRDefault="0049400E" w:rsidP="00223CD7">
            <w:pPr>
              <w:jc w:val="center"/>
            </w:pPr>
          </w:p>
          <w:p w14:paraId="20FC8211" w14:textId="77777777" w:rsidR="0049400E" w:rsidRDefault="0049400E" w:rsidP="00223CD7">
            <w:pPr>
              <w:jc w:val="center"/>
            </w:pPr>
          </w:p>
          <w:p w14:paraId="12168C76" w14:textId="77777777" w:rsidR="0049400E" w:rsidRDefault="0049400E" w:rsidP="0049400E">
            <w:pPr>
              <w:jc w:val="center"/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Kl. Hematoonkologii i Transplantacji Szpiku</w:t>
            </w:r>
          </w:p>
          <w:p w14:paraId="2F2A6EB5" w14:textId="13868FC2" w:rsidR="0049400E" w:rsidRDefault="0049400E" w:rsidP="00223CD7">
            <w:pPr>
              <w:jc w:val="center"/>
            </w:pPr>
          </w:p>
        </w:tc>
      </w:tr>
      <w:tr w:rsidR="0049400E" w14:paraId="3A75A545" w14:textId="77777777" w:rsidTr="000720FA">
        <w:trPr>
          <w:trHeight w:val="3108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EEA2D6" w14:textId="77777777" w:rsidR="0049400E" w:rsidRPr="006B75BB" w:rsidRDefault="0049400E" w:rsidP="000720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ACE-CL-309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D790" w14:textId="77777777" w:rsidR="0049400E" w:rsidRPr="006B75BB" w:rsidRDefault="0049400E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"Randomizowane, wieloośrodkowe , prowadzone metodą otwartej próby badanie fazy 3 oceniające akalabrutynib (ACP-196) w porównaniu z leczeniem wybranym przez badacza: idelalizybem w skojarzeniu z rytuksymabem lub bendamustyną w skojarzeniu z rytuksymabem, u pacentów z nawracającą lub oporną na leczenie przewlekłą białaczką limfocytową"</w:t>
            </w:r>
          </w:p>
        </w:tc>
        <w:tc>
          <w:tcPr>
            <w:tcW w:w="2830" w:type="dxa"/>
            <w:vMerge/>
          </w:tcPr>
          <w:p w14:paraId="4CF3A7B5" w14:textId="0B7AE5AD" w:rsidR="0049400E" w:rsidRPr="002B24E0" w:rsidRDefault="0049400E" w:rsidP="00223CD7">
            <w:pPr>
              <w:jc w:val="center"/>
            </w:pPr>
          </w:p>
        </w:tc>
      </w:tr>
      <w:tr w:rsidR="0049400E" w14:paraId="0A40691E" w14:textId="77777777" w:rsidTr="0024296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0BBA" w14:textId="77777777" w:rsidR="0049400E" w:rsidRPr="006B75BB" w:rsidRDefault="0049400E" w:rsidP="000720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CRd vs R, PMC 006, Badanie niekomercyjne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B93C" w14:textId="77777777" w:rsidR="0049400E" w:rsidRPr="006B75BB" w:rsidRDefault="0049400E" w:rsidP="000720F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"Randomizowane badanie kliniczne fazy 3, porownujące zastosowanie karfilzomibu w skojarzeniu z lenalidomidem i deksametazonem w stosunku do monoterapii lenalidomidomidem u pacjentów ze szpiczakiem plazmocytowym po przeszczepie komórek macierzystych"</w:t>
            </w:r>
          </w:p>
        </w:tc>
        <w:tc>
          <w:tcPr>
            <w:tcW w:w="2830" w:type="dxa"/>
            <w:vMerge/>
          </w:tcPr>
          <w:p w14:paraId="4A070465" w14:textId="1DE0D14F" w:rsidR="0049400E" w:rsidRDefault="0049400E" w:rsidP="00223CD7">
            <w:pPr>
              <w:jc w:val="center"/>
            </w:pPr>
          </w:p>
        </w:tc>
      </w:tr>
      <w:tr w:rsidR="0049400E" w14:paraId="71039C45" w14:textId="77777777" w:rsidTr="008A7082"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0D4FE1" w14:textId="77777777" w:rsidR="0049400E" w:rsidRPr="006B75BB" w:rsidRDefault="0049400E" w:rsidP="000720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PLRG-HL1/BURGUND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3F3F3F"/>
              <w:right w:val="single" w:sz="4" w:space="0" w:color="auto"/>
            </w:tcBorders>
            <w:vAlign w:val="center"/>
          </w:tcPr>
          <w:p w14:paraId="6DBE5C7A" w14:textId="77777777" w:rsidR="0049400E" w:rsidRPr="006B75BB" w:rsidRDefault="0049400E" w:rsidP="000720F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"Zastosowanie chemioterapii ratunkowej: bendamustyna, gemcytabina, deksametazon (BGD) z następową autologiczną transplantacją komórek układu krwiotwórczego u chorych nieodpowiadających na leczenie ABVD - wieloośrodkowe badanie kliniczne II fazy"</w:t>
            </w:r>
          </w:p>
        </w:tc>
        <w:tc>
          <w:tcPr>
            <w:tcW w:w="2830" w:type="dxa"/>
            <w:vMerge/>
          </w:tcPr>
          <w:p w14:paraId="3AEEAA2F" w14:textId="4E9F1D39" w:rsidR="0049400E" w:rsidRDefault="0049400E" w:rsidP="00223CD7">
            <w:pPr>
              <w:jc w:val="center"/>
            </w:pPr>
          </w:p>
        </w:tc>
      </w:tr>
      <w:tr w:rsidR="0049400E" w14:paraId="71804356" w14:textId="77777777" w:rsidTr="00A933EB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28F030C" w14:textId="77777777" w:rsidR="0049400E" w:rsidRPr="006B75BB" w:rsidRDefault="0049400E" w:rsidP="000720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TRIANGLE, 2014-001363-12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A021" w14:textId="77777777" w:rsidR="0049400E" w:rsidRPr="006B75BB" w:rsidRDefault="0049400E" w:rsidP="000720F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"Autologiczna Transplantacja po leczeniu indukcyjnym zawierającym Rytuksymab/Ibrutynib/cytarabinę w uogólnionym chłoniaku z komórek płaszcza - randomizowane badanie europejskiej Sieci MCL. TRIANGLE"</w:t>
            </w:r>
          </w:p>
        </w:tc>
        <w:tc>
          <w:tcPr>
            <w:tcW w:w="2830" w:type="dxa"/>
            <w:vMerge/>
          </w:tcPr>
          <w:p w14:paraId="1C2FD161" w14:textId="1700AAFB" w:rsidR="0049400E" w:rsidRDefault="0049400E" w:rsidP="00223CD7">
            <w:pPr>
              <w:jc w:val="center"/>
            </w:pPr>
          </w:p>
        </w:tc>
      </w:tr>
      <w:tr w:rsidR="0049400E" w14:paraId="6FFEB64B" w14:textId="77777777" w:rsidTr="000720FA">
        <w:trPr>
          <w:trHeight w:val="2281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A436EC" w14:textId="77777777" w:rsidR="0049400E" w:rsidRPr="006B75BB" w:rsidRDefault="0049400E" w:rsidP="000720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54179060 CLL3011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3F3F3F"/>
              <w:right w:val="single" w:sz="4" w:space="0" w:color="auto"/>
            </w:tcBorders>
            <w:vAlign w:val="center"/>
          </w:tcPr>
          <w:p w14:paraId="16DBDF2B" w14:textId="77777777" w:rsidR="0049400E" w:rsidRPr="006B75BB" w:rsidRDefault="0049400E" w:rsidP="000720F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"Randomizowane, otwarte badanie fazy 3, porównujące skojarzenie ibrutynibu z wenetoklaksem oraz chlorambucylu z obinutuzumabem w pierwszej linii leczenia pacjentów z przewlekłą białaczką limfocytową/chłoniakiem z małych limfocytów"</w:t>
            </w:r>
          </w:p>
        </w:tc>
        <w:tc>
          <w:tcPr>
            <w:tcW w:w="2830" w:type="dxa"/>
            <w:vMerge/>
          </w:tcPr>
          <w:p w14:paraId="0C0D2986" w14:textId="0FDC9FEF" w:rsidR="0049400E" w:rsidRDefault="0049400E" w:rsidP="00223CD7">
            <w:pPr>
              <w:jc w:val="center"/>
            </w:pPr>
          </w:p>
        </w:tc>
      </w:tr>
      <w:tr w:rsidR="0049400E" w14:paraId="28916760" w14:textId="77777777" w:rsidTr="000720FA">
        <w:tc>
          <w:tcPr>
            <w:tcW w:w="268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596E" w14:textId="77777777" w:rsidR="0049400E" w:rsidRPr="006B75BB" w:rsidRDefault="0049400E" w:rsidP="000720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GS-US-352-4365/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7FF1" w14:textId="77777777" w:rsidR="0049400E" w:rsidRPr="006B75BB" w:rsidRDefault="0049400E" w:rsidP="000720F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"Przedłużony dostęp do momelotynibu dla pacjentów z pierwotnym włóknieniem szpiku (PMF) lub włóknieniem szpiku poprzedzonym nadkrwistością prawdziwą lub nadpłytkowością samoistną (Post-PV/ET MF)"</w:t>
            </w:r>
          </w:p>
        </w:tc>
        <w:tc>
          <w:tcPr>
            <w:tcW w:w="2830" w:type="dxa"/>
            <w:vMerge/>
          </w:tcPr>
          <w:p w14:paraId="27C4161F" w14:textId="480FC7A8" w:rsidR="0049400E" w:rsidRDefault="0049400E" w:rsidP="00223CD7">
            <w:pPr>
              <w:jc w:val="center"/>
            </w:pPr>
          </w:p>
        </w:tc>
      </w:tr>
      <w:tr w:rsidR="0049400E" w14:paraId="3B09A37B" w14:textId="77777777" w:rsidTr="00CA2B7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859F" w14:textId="77777777" w:rsidR="0049400E" w:rsidRPr="006B75BB" w:rsidRDefault="0049400E" w:rsidP="000720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ACE-536-MDS-002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0400" w14:textId="77777777" w:rsidR="0049400E" w:rsidRPr="006B75BB" w:rsidRDefault="0049400E" w:rsidP="000720F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"Otwarte, randomizowane badanie fazy III, porównujące skuteczność i bezpieczeństwo luspaterceptu (ACE-536) i epoetyny alfa w leczeniu niedokrwistości w przebiegu zespołów mielodysplastycznych o bardzo niskim, niskim lub pośrednim ryzyku według klasyfikacji zrewidowanego Międzynarodowego Indeksu Rokowniczego (IRSS-R) u pacjentów uprzednio nieleczonych czynnikami stymulującymi </w:t>
            </w: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erytropoezę (ESA), którzy wymagają przetaczania krwinek czerwonych"</w:t>
            </w:r>
          </w:p>
        </w:tc>
        <w:tc>
          <w:tcPr>
            <w:tcW w:w="2830" w:type="dxa"/>
            <w:vMerge/>
          </w:tcPr>
          <w:p w14:paraId="67CCE8BE" w14:textId="1936BCEB" w:rsidR="0049400E" w:rsidRDefault="0049400E" w:rsidP="00223CD7">
            <w:pPr>
              <w:jc w:val="center"/>
            </w:pPr>
          </w:p>
        </w:tc>
      </w:tr>
      <w:tr w:rsidR="0049400E" w14:paraId="2CDB678F" w14:textId="77777777" w:rsidTr="002B24E0">
        <w:trPr>
          <w:trHeight w:val="3596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D17315" w14:textId="77777777" w:rsidR="0049400E" w:rsidRPr="006B75BB" w:rsidRDefault="0049400E" w:rsidP="000720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ACE-CL-311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38DED2" w14:textId="77777777" w:rsidR="0049400E" w:rsidRPr="006B75BB" w:rsidRDefault="0049400E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"Wieloośrodkowe, randomizowane badanie fazy III, prowadzone metodą otwartej próby, oceniające skuteczność i bezpieczeństwo acalabrutinibu (ACP-196) w skojarzeniu z wenetoklaksem i z lub bez obinutuzumabu w porównaniu z wybraną przez lekarza prowadzącego chemioimmunoterapią u pacjentów z wcześniej nieleczoną przewlekłą białaczką limfocytową bez obecności mutacji del (17p) lub TP53"</w:t>
            </w:r>
          </w:p>
        </w:tc>
        <w:tc>
          <w:tcPr>
            <w:tcW w:w="2830" w:type="dxa"/>
            <w:vMerge/>
          </w:tcPr>
          <w:p w14:paraId="79C8F13B" w14:textId="5CBB0FA6" w:rsidR="0049400E" w:rsidRDefault="0049400E" w:rsidP="00223CD7">
            <w:pPr>
              <w:jc w:val="center"/>
            </w:pPr>
          </w:p>
        </w:tc>
      </w:tr>
      <w:tr w:rsidR="0049400E" w14:paraId="3BEE3C4F" w14:textId="77777777" w:rsidTr="002B24E0">
        <w:trPr>
          <w:trHeight w:val="1496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20ADFD" w14:textId="77777777" w:rsidR="0049400E" w:rsidRPr="006B75BB" w:rsidRDefault="0049400E" w:rsidP="000720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NN7415-4307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Explorer 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BFC956" w14:textId="77777777" w:rsidR="0049400E" w:rsidRPr="006B75BB" w:rsidRDefault="0049400E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"Skuteczność i bezpieczeństwo concizumabu (koncizumabu) stosowanego profilaktycznie u pacjentów z hemofilią A lub B niepowikłaną inhibitorami"</w:t>
            </w:r>
          </w:p>
        </w:tc>
        <w:tc>
          <w:tcPr>
            <w:tcW w:w="2830" w:type="dxa"/>
            <w:vMerge/>
          </w:tcPr>
          <w:p w14:paraId="109B96A0" w14:textId="1A3B42A7" w:rsidR="0049400E" w:rsidRDefault="0049400E" w:rsidP="00223CD7">
            <w:pPr>
              <w:jc w:val="center"/>
            </w:pPr>
          </w:p>
        </w:tc>
      </w:tr>
      <w:tr w:rsidR="0049400E" w14:paraId="57AC78B6" w14:textId="77777777" w:rsidTr="002B24E0">
        <w:trPr>
          <w:trHeight w:val="1558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8C87C7" w14:textId="77777777" w:rsidR="0049400E" w:rsidRPr="006B75BB" w:rsidRDefault="0049400E" w:rsidP="000720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NN7415-4311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Explorer 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41B868" w14:textId="77777777" w:rsidR="0049400E" w:rsidRPr="006B75BB" w:rsidRDefault="0049400E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"Skuteczność i bezpieczeństwo concizumabu (koncizumabu) stosowanego profilaktycznie u pacjentów z hemofilią A lub B powikłaną inhibitorami"</w:t>
            </w:r>
          </w:p>
        </w:tc>
        <w:tc>
          <w:tcPr>
            <w:tcW w:w="2830" w:type="dxa"/>
            <w:vMerge/>
          </w:tcPr>
          <w:p w14:paraId="1B4C42D4" w14:textId="29570BF6" w:rsidR="0049400E" w:rsidRDefault="0049400E" w:rsidP="00223CD7">
            <w:pPr>
              <w:jc w:val="center"/>
            </w:pPr>
          </w:p>
        </w:tc>
      </w:tr>
      <w:tr w:rsidR="0049400E" w14:paraId="1B144D32" w14:textId="77777777" w:rsidTr="00DF03A2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9FB2B7" w14:textId="77777777" w:rsidR="0049400E" w:rsidRPr="006B75BB" w:rsidRDefault="0049400E" w:rsidP="000720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207503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DREAMM7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97CCBB" w14:textId="77777777" w:rsidR="0049400E" w:rsidRPr="006B75BB" w:rsidRDefault="0049400E" w:rsidP="000720F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"Wieloośrodkowe, randomizowane badanie fazy III prowadzone metodą otwartej próby, oceniające skuteczność i bezpieczeństwo skojarzenia belantamabu mafodotyny, bortezomibu i deksametazomu (B-Vd) w porównaniu ze skojarzeniem daratumumabu, bortezomibu i deksametazonu (D-Vd) u pacjentów z nawrotowym/opornym na leczenie szpiczakiem mnogim"</w:t>
            </w:r>
          </w:p>
        </w:tc>
        <w:tc>
          <w:tcPr>
            <w:tcW w:w="2830" w:type="dxa"/>
            <w:vMerge/>
          </w:tcPr>
          <w:p w14:paraId="1D95E8E5" w14:textId="50DAA9B3" w:rsidR="0049400E" w:rsidRDefault="0049400E" w:rsidP="00223CD7">
            <w:pPr>
              <w:jc w:val="center"/>
            </w:pPr>
          </w:p>
        </w:tc>
      </w:tr>
      <w:tr w:rsidR="0049400E" w14:paraId="1B86BCBA" w14:textId="77777777" w:rsidTr="00C976AF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E22CE2" w14:textId="77777777" w:rsidR="0049400E" w:rsidRPr="006B75BB" w:rsidRDefault="0049400E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Pevonedistat - 2002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3E0E35F" w14:textId="77777777" w:rsidR="0049400E" w:rsidRPr="006B75BB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"Randomizowane, kontrolowane, prowadzonemetodą otwartej próby badanie kliniczne fazy II dotyczące stosowania pevonedistatu w skojarzeniu z venetoclaxem i azacytydyną w porównaniu do stosowania venetoclaxu z azacytydynąu pacjentów z nowo rozpoznaną ostrą białaczką szpikową, niekwalifikujących się do intensywnej chemioterapii"</w:t>
            </w:r>
          </w:p>
        </w:tc>
        <w:tc>
          <w:tcPr>
            <w:tcW w:w="2830" w:type="dxa"/>
            <w:vMerge/>
          </w:tcPr>
          <w:p w14:paraId="538E7762" w14:textId="249473B3" w:rsidR="0049400E" w:rsidRDefault="0049400E" w:rsidP="00223CD7">
            <w:pPr>
              <w:jc w:val="center"/>
            </w:pPr>
          </w:p>
        </w:tc>
      </w:tr>
      <w:tr w:rsidR="0049400E" w14:paraId="064D7EF3" w14:textId="77777777" w:rsidTr="00A6253C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02E20C" w14:textId="77777777" w:rsidR="0049400E" w:rsidRPr="006B75BB" w:rsidRDefault="0049400E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M15-954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A69BDB" w14:textId="77777777" w:rsidR="0049400E" w:rsidRPr="006B75BB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"Randomizowane, podwójnie zaślepione badanie III fazy, oceniające bezpieczeństwo i skutecznośćstosowania wenetoklaksu w połączeniu z azacytydyną u pacjentów z nowo zdiagnozowanym zespołem mielodysplastycznym wysokiego ryzyka (MDS wysokiego ryzyka)"</w:t>
            </w:r>
          </w:p>
        </w:tc>
        <w:tc>
          <w:tcPr>
            <w:tcW w:w="2830" w:type="dxa"/>
            <w:vMerge/>
          </w:tcPr>
          <w:p w14:paraId="0AB614ED" w14:textId="095F834D" w:rsidR="0049400E" w:rsidRDefault="0049400E" w:rsidP="00223CD7">
            <w:pPr>
              <w:jc w:val="center"/>
            </w:pPr>
          </w:p>
        </w:tc>
      </w:tr>
      <w:tr w:rsidR="0049400E" w14:paraId="20743264" w14:textId="77777777" w:rsidTr="00006B5C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0BE241" w14:textId="77777777" w:rsidR="0049400E" w:rsidRPr="006B75BB" w:rsidRDefault="0049400E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BO42161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F3B75E" w14:textId="77777777" w:rsidR="0049400E" w:rsidRPr="006B75BB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"Randomizowane, wieloośrodkowe badanie fazy III prowdzone metodą otwartej próby z grupą kontrolną otrzymującą substancję czynną, mające na celu ocenę skuteczności i bezpieczeństwa stosowania krowalimabu w porównaniu z ekulizumabem u pacjentów dorosłych i nastoletnich z nocną napadową hemoglobinurią (NNH) leczonych obecnie inhibitorami dopełniacza"</w:t>
            </w:r>
          </w:p>
        </w:tc>
        <w:tc>
          <w:tcPr>
            <w:tcW w:w="2830" w:type="dxa"/>
            <w:vMerge/>
          </w:tcPr>
          <w:p w14:paraId="50CE9698" w14:textId="1F359BC9" w:rsidR="0049400E" w:rsidRDefault="0049400E" w:rsidP="00223CD7">
            <w:pPr>
              <w:jc w:val="center"/>
            </w:pPr>
          </w:p>
        </w:tc>
      </w:tr>
      <w:tr w:rsidR="0049400E" w14:paraId="11ED27C2" w14:textId="77777777" w:rsidTr="00A6253C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BDF2C2" w14:textId="77777777" w:rsidR="0049400E" w:rsidRPr="006B75BB" w:rsidRDefault="0049400E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BO42162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16BA72" w14:textId="77777777" w:rsidR="0049400E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"Randomizowane, wieloośrodkowe badanie fazy III prowdzone metodą otwartej próby z grupą kontrolną otrzymującą substancję czynną, mające na celu ocenę skuteczności i bezpieczeństwa stosowania krowalimabu</w:t>
            </w:r>
          </w:p>
          <w:p w14:paraId="50FB6335" w14:textId="77777777" w:rsidR="0049400E" w:rsidRPr="006B75BB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porównaniu z ekulizumabem u pacjentów dorosłych i nastoletnich z nocną napadową hemoglobinurią (NNH) nieleczonych wcześniej inhibitorami dopełniacza"</w:t>
            </w:r>
          </w:p>
        </w:tc>
        <w:tc>
          <w:tcPr>
            <w:tcW w:w="2830" w:type="dxa"/>
            <w:vMerge/>
          </w:tcPr>
          <w:p w14:paraId="5719C025" w14:textId="6AF54B9C" w:rsidR="0049400E" w:rsidRDefault="0049400E" w:rsidP="00223CD7">
            <w:pPr>
              <w:jc w:val="center"/>
            </w:pPr>
          </w:p>
        </w:tc>
      </w:tr>
      <w:tr w:rsidR="0049400E" w14:paraId="14AB79BC" w14:textId="77777777" w:rsidTr="000620C3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1AE88F" w14:textId="77777777" w:rsidR="0049400E" w:rsidRPr="006B75BB" w:rsidRDefault="0049400E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209664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DREAMM 9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58A0CB" w14:textId="77777777" w:rsidR="0049400E" w:rsidRPr="006B75BB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"Randomizowane badanie fazy 1 oceniające dawkę i schemat podawania leku, mające na celu określenie bezpieczeństwa, farmakokinetyki, farmakodynamiki oraz aktywności klinicznej belantamabu mafodoti podawanego w skojarzeniu ze standardowym leczeniem u pacjentów z nowo rozpoznanym szpiczakiem mnogim"</w:t>
            </w:r>
          </w:p>
        </w:tc>
        <w:tc>
          <w:tcPr>
            <w:tcW w:w="2830" w:type="dxa"/>
            <w:vMerge/>
          </w:tcPr>
          <w:p w14:paraId="7C1D8CB2" w14:textId="71827F25" w:rsidR="0049400E" w:rsidRDefault="0049400E" w:rsidP="00223CD7">
            <w:pPr>
              <w:jc w:val="center"/>
            </w:pPr>
          </w:p>
        </w:tc>
      </w:tr>
      <w:tr w:rsidR="0049400E" w14:paraId="485F1AD9" w14:textId="77777777" w:rsidTr="00FC05E6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69D886" w14:textId="77777777" w:rsidR="0049400E" w:rsidRPr="006B75BB" w:rsidRDefault="0049400E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INCB50465-313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A43B23" w14:textId="77777777" w:rsidR="0049400E" w:rsidRPr="006B75BB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"Randomizowane, prowadzone metodą podwójnej ślepej próby z grupą kontrolną otrzymujące placebo dotyczące stosowania skojarzenia inhibitora P13Kδ - parsaklisybu z ruksolitynibem u pacjentów ze zwłóknieniem szpiku"</w:t>
            </w:r>
          </w:p>
        </w:tc>
        <w:tc>
          <w:tcPr>
            <w:tcW w:w="2830" w:type="dxa"/>
            <w:vMerge/>
          </w:tcPr>
          <w:p w14:paraId="4DC2E1D9" w14:textId="3330DA7A" w:rsidR="0049400E" w:rsidRPr="00223CD7" w:rsidRDefault="0049400E" w:rsidP="00223CD7">
            <w:pPr>
              <w:jc w:val="center"/>
            </w:pPr>
          </w:p>
        </w:tc>
      </w:tr>
      <w:tr w:rsidR="0049400E" w14:paraId="1CB2D910" w14:textId="77777777" w:rsidTr="00850B32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95C895" w14:textId="77777777" w:rsidR="0049400E" w:rsidRPr="006B75BB" w:rsidRDefault="0049400E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INCB50465-304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3CB620" w14:textId="77777777" w:rsidR="0049400E" w:rsidRPr="006B75BB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"Randomizowane, prowadzone metodą podwójnej ślepej próby z grupą kontrolną otrzymujące placebo dotyczące stosowania skojarzenia inhibitora P13Kδ - parsaklisybu z ruksolitynibem u pacjentów ze zwłóknieniem szpiku, u których stwierdzono niewystarczającą odpowiedź na ruksolitynib"</w:t>
            </w:r>
          </w:p>
        </w:tc>
        <w:tc>
          <w:tcPr>
            <w:tcW w:w="2830" w:type="dxa"/>
            <w:vMerge/>
          </w:tcPr>
          <w:p w14:paraId="4823B3BB" w14:textId="77777777" w:rsidR="0049400E" w:rsidRDefault="0049400E" w:rsidP="002B24E0"/>
        </w:tc>
      </w:tr>
      <w:tr w:rsidR="0049400E" w14:paraId="18026BD3" w14:textId="77777777" w:rsidTr="002B24E0">
        <w:trPr>
          <w:trHeight w:val="5042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3E0345" w14:textId="77777777" w:rsidR="0049400E" w:rsidRPr="006B75BB" w:rsidRDefault="0049400E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INCMOR 0208-301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103A58" w14:textId="77777777" w:rsidR="0049400E" w:rsidRPr="006B75BB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"Randomizowane prowadzone metodą podwójnie ślepej próby, z grupą kontrolną otrzymującą placebo wieloośrodkowe badania fazy III oceniające skuteczność i bezpieczeństwo stosowania tafasitamabu w skojarzeniu z lenalidomidem podczas jednoczesnego podawania tyruksymabu w porównaniu z lenalidomidem podczas jednoczesnego podawania rutyksymabu u pacjentów z nawrotowym/opornym na leczenie chłoniakiem grudkowym w stopniu zaawansowanym 1 do 3a lub nawrotowym/opornym na leczenie chłoniakiem strefy brzeżnej"</w:t>
            </w:r>
          </w:p>
        </w:tc>
        <w:tc>
          <w:tcPr>
            <w:tcW w:w="2830" w:type="dxa"/>
            <w:vMerge/>
          </w:tcPr>
          <w:p w14:paraId="4B9B185C" w14:textId="77777777" w:rsidR="0049400E" w:rsidRDefault="0049400E" w:rsidP="002B24E0"/>
        </w:tc>
      </w:tr>
      <w:tr w:rsidR="0049400E" w14:paraId="37B2B1F2" w14:textId="77777777" w:rsidTr="00F332B8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EF2E6F" w14:textId="77777777" w:rsidR="0049400E" w:rsidRPr="006B75BB" w:rsidRDefault="0049400E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208887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DREAMM5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D51552" w14:textId="77777777" w:rsidR="0049400E" w:rsidRPr="006B75BB" w:rsidRDefault="0049400E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"Randomizowane, prowadzone metodą otwartej próby badanie platformowe fazy I/II, oparte na protokole głównym, oceniające belantamab mafodotin (GSK2857916) stosowany w monoterapii i w połączeniu z lekami przeciwnowotworowymi u pacjentów z nawrtowym/opornym na leczenie szpiczakiem mnogim (RRMM) – DREAMM5. Podbadanie 3"</w:t>
            </w:r>
          </w:p>
        </w:tc>
        <w:tc>
          <w:tcPr>
            <w:tcW w:w="2830" w:type="dxa"/>
            <w:vMerge/>
          </w:tcPr>
          <w:p w14:paraId="5A9F98B8" w14:textId="77777777" w:rsidR="0049400E" w:rsidRDefault="0049400E" w:rsidP="002B24E0"/>
        </w:tc>
      </w:tr>
      <w:tr w:rsidR="00223CD7" w14:paraId="17D80E45" w14:textId="77777777" w:rsidTr="005B73E7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61685B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LOXO-BTK-20023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BRUIN-CLL-313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ED43EC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"Randomizowane badanie fazy III prowadzone metodą otwartej próby, mające na celu ocenę pirtobrutynibu (LOXO-305) w porównaniu z bendamustyną podawaną w skojarzeniu z rytuksymabem u nieleczonych pacjentów z przewlekłą białaczką limfocytową/chłoniakiem z małych limfocytów B (BRUIN-CLL-313)"</w:t>
            </w:r>
          </w:p>
        </w:tc>
        <w:tc>
          <w:tcPr>
            <w:tcW w:w="2830" w:type="dxa"/>
            <w:vMerge w:val="restart"/>
          </w:tcPr>
          <w:p w14:paraId="35539EE9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40412F4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B581155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C9D9291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40C905A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10AB812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344492F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DB83DDB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029DF39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1657C00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D52F439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27021F3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2D328D7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9D29779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F09CEDA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6516F7E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D2EF6A3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DB89818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DAF9221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385EBC8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3B331CC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C8A264B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AEBD427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436ABE4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06D2DDB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7851735" w14:textId="77777777" w:rsidR="00223CD7" w:rsidRDefault="00223CD7" w:rsidP="00223CD7">
            <w:pPr>
              <w:jc w:val="center"/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Kl. Hematoonkologii i Transplantacji Szpiku</w:t>
            </w:r>
          </w:p>
        </w:tc>
      </w:tr>
      <w:tr w:rsidR="00223CD7" w14:paraId="625388F3" w14:textId="77777777" w:rsidTr="00717C28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A82184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209628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DREAMM 14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1AA47E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"Randomizowane, prowadzone metodą otwartej próby w grupach rownoległych badanie fazy 2 oceniające bezpieczeństwo, skuteczność i farmakokinetykę różnych schematów dawkowania jednego produktu belantamabu mafodotin (GSK2857916) u pacjentów z nawrotowym lub opornym na leczenie szpiczakiem mnogim (DREAMM-14)"</w:t>
            </w:r>
          </w:p>
        </w:tc>
        <w:tc>
          <w:tcPr>
            <w:tcW w:w="2830" w:type="dxa"/>
            <w:vMerge/>
          </w:tcPr>
          <w:p w14:paraId="18251998" w14:textId="77777777" w:rsidR="00223CD7" w:rsidRDefault="00223CD7" w:rsidP="002B24E0"/>
        </w:tc>
      </w:tr>
      <w:tr w:rsidR="00223CD7" w14:paraId="301185CF" w14:textId="77777777" w:rsidTr="007F2CAE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B9BCFA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PALG ALL7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OVERALL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938F79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"Porównanie skuteczności i bezpieczeństwa obinutuzumabu i rytuksymabu w leczeniu skojarzonym dorosłych chorych na ostrą białaczkę limfoblastyczną z ekspresją CD20"</w:t>
            </w:r>
          </w:p>
        </w:tc>
        <w:tc>
          <w:tcPr>
            <w:tcW w:w="2830" w:type="dxa"/>
            <w:vMerge/>
          </w:tcPr>
          <w:p w14:paraId="28F3E7D4" w14:textId="77777777" w:rsidR="00223CD7" w:rsidRDefault="00223CD7" w:rsidP="002B24E0"/>
        </w:tc>
      </w:tr>
      <w:tr w:rsidR="00223CD7" w14:paraId="380F8991" w14:textId="77777777" w:rsidTr="00B73BCD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472F37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ACE-LY-312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D8227C00001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EB22BA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„Randomizowane badanie fazy III, prowadzone metodą podwójnie ślepej próby, z grupą kontrolną otrzymującą placebo, z zastosowaniem akalabrutynibu, w skojarzeniu z rutyksymabem, cyklofosfamidem, doksorubicyną. Winkrystyną i prednizonem (R-CHOP) u pacjentów w wieku ≤70 lat z wcześniej nieleczonym chłoniakiem rozlanym z dużych limfocytów B spoza ośrodków rozmnażania (non-GCB)”</w:t>
            </w:r>
          </w:p>
        </w:tc>
        <w:tc>
          <w:tcPr>
            <w:tcW w:w="2830" w:type="dxa"/>
            <w:vMerge/>
          </w:tcPr>
          <w:p w14:paraId="2BA019EE" w14:textId="77777777" w:rsidR="00223CD7" w:rsidRDefault="00223CD7" w:rsidP="002B24E0"/>
        </w:tc>
      </w:tr>
      <w:tr w:rsidR="00223CD7" w14:paraId="43EDC612" w14:textId="77777777" w:rsidTr="009644FE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1D4BCE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M22-947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F1E64B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"Badanie mające na celu ustalenie dawki ABBV-383 stosowanego w skojarzeniu ze standardowąterapią przeciwnowotworową u pacjentów z nawrotowym/opornym na leczenie szpiczakiem mnogim"</w:t>
            </w:r>
          </w:p>
        </w:tc>
        <w:tc>
          <w:tcPr>
            <w:tcW w:w="2830" w:type="dxa"/>
            <w:vMerge/>
          </w:tcPr>
          <w:p w14:paraId="601C9785" w14:textId="77777777" w:rsidR="00223CD7" w:rsidRDefault="00223CD7" w:rsidP="002B24E0"/>
        </w:tc>
      </w:tr>
      <w:tr w:rsidR="00223CD7" w14:paraId="7BC3A44D" w14:textId="77777777" w:rsidTr="001E51F6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D48AF1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LOXO-BTK-20030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BRUIN-CLL-314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E2F054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"Randomizowane, prowadzone metodą otwartej próby badanie fazy III porównujące stosowanie pirtobrutynibu (LOXO-305) z ibrutynibem u chorych z przewlekłą białaczką limfocytową/chłoniakiem z małych limfocytów (BRUIN-CLL-314)"</w:t>
            </w:r>
          </w:p>
        </w:tc>
        <w:tc>
          <w:tcPr>
            <w:tcW w:w="2830" w:type="dxa"/>
            <w:vMerge/>
          </w:tcPr>
          <w:p w14:paraId="2C2AA9DF" w14:textId="77777777" w:rsidR="00223CD7" w:rsidRDefault="00223CD7" w:rsidP="002B24E0"/>
        </w:tc>
      </w:tr>
      <w:tr w:rsidR="00223CD7" w14:paraId="774DDBCE" w14:textId="77777777" w:rsidTr="00092468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832B71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64007957MMY3006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263F22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"Randomizowane badanie 3 fazy porównujące leczenie teklistamabem w monoterapii z leczeniem pomalidomidem, bortezomibem, deksametazonem (PVd) lub karfilzomibem i deksametazonem (Kd) u pacjentów z nawrotowym lub opornym na </w:t>
            </w: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leczenie szpiczakiem plazmocytowym, którzy otrzymali 1 do 3 wcześniejszych linii leczenia, w tym leczenie przeciwciałem monoklonalnym anty-CD38 i lenalidomidem"</w:t>
            </w:r>
          </w:p>
        </w:tc>
        <w:tc>
          <w:tcPr>
            <w:tcW w:w="2830" w:type="dxa"/>
            <w:vMerge w:val="restart"/>
          </w:tcPr>
          <w:p w14:paraId="6050ADDA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22A6E5F" w14:textId="77777777" w:rsidR="00223CD7" w:rsidRDefault="00223CD7" w:rsidP="00223C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0D8F4C1" w14:textId="75098761" w:rsidR="00223CD7" w:rsidRDefault="00302BF6" w:rsidP="00302BF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Kl. Hematoonkologii i Transplantacji Szpiku</w:t>
            </w:r>
          </w:p>
          <w:p w14:paraId="1E32331B" w14:textId="77777777" w:rsidR="00223CD7" w:rsidRDefault="00223CD7" w:rsidP="00223C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6DF65FC" w14:textId="77777777" w:rsidR="00223CD7" w:rsidRDefault="00223CD7" w:rsidP="00223C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35824FD" w14:textId="77777777" w:rsidR="00223CD7" w:rsidRDefault="00223CD7" w:rsidP="00223C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78FD517" w14:textId="77777777" w:rsidR="00223CD7" w:rsidRDefault="00223CD7" w:rsidP="00223C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3EEA6F9" w14:textId="77777777" w:rsidR="00223CD7" w:rsidRDefault="00223CD7" w:rsidP="00223C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5889393" w14:textId="77777777" w:rsidR="00223CD7" w:rsidRDefault="00223CD7" w:rsidP="00223C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3921E34" w14:textId="77777777" w:rsidR="00223CD7" w:rsidRDefault="00223CD7" w:rsidP="00223C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79DACBE" w14:textId="77777777" w:rsidR="00223CD7" w:rsidRDefault="00223CD7" w:rsidP="00223C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6F8FEE3" w14:textId="77777777" w:rsidR="00223CD7" w:rsidRDefault="00223CD7" w:rsidP="00223C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957530F" w14:textId="77777777" w:rsidR="00223CD7" w:rsidRDefault="00223CD7" w:rsidP="00223C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61A4562" w14:textId="77777777" w:rsidR="00223CD7" w:rsidRDefault="00223CD7" w:rsidP="00223C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8E49FC3" w14:textId="77777777" w:rsidR="00223CD7" w:rsidRDefault="00223CD7" w:rsidP="00223C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5D1C98A" w14:textId="77777777" w:rsidR="00223CD7" w:rsidRDefault="00223CD7" w:rsidP="00223C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C2D9AD6" w14:textId="77777777" w:rsidR="00223CD7" w:rsidRDefault="00223CD7" w:rsidP="00223C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C99C634" w14:textId="77777777" w:rsidR="00223CD7" w:rsidRDefault="00223CD7" w:rsidP="00223C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2559726" w14:textId="77777777" w:rsidR="00223CD7" w:rsidRDefault="00223CD7" w:rsidP="00223C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89479F9" w14:textId="77777777" w:rsidR="00223CD7" w:rsidRDefault="00223CD7" w:rsidP="00223C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3183852" w14:textId="77777777" w:rsidR="00223CD7" w:rsidRDefault="00223CD7" w:rsidP="00223C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3358D16" w14:textId="77777777" w:rsidR="00223CD7" w:rsidRDefault="00223CD7" w:rsidP="00223CD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8726308" w14:textId="77777777" w:rsidR="00223CD7" w:rsidRDefault="00223CD7" w:rsidP="00223CD7">
            <w:pPr>
              <w:jc w:val="center"/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Kl. Hematoonkologii i Transplantacji Szpiku</w:t>
            </w:r>
          </w:p>
        </w:tc>
      </w:tr>
      <w:tr w:rsidR="00223CD7" w14:paraId="4B4D4459" w14:textId="77777777" w:rsidTr="00D76116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F66CFE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EFC15951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IRAKLIA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C00932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"Randomizowane, prowadzone metodą otwartej próby badanie fazy 3 oceniające podawanie podskórne w porównaniu z podawaniem dożylnym izatuksymabu w skojarzeniu z pomalidomidem i deksametazonem u dorosłych pacjentów z nawrotowym i/lub opornym na leczenie szpiczakiem plazmocytowym (RRMM)"</w:t>
            </w:r>
          </w:p>
        </w:tc>
        <w:tc>
          <w:tcPr>
            <w:tcW w:w="2830" w:type="dxa"/>
            <w:vMerge/>
          </w:tcPr>
          <w:p w14:paraId="4A2D6A21" w14:textId="77777777" w:rsidR="00223CD7" w:rsidRDefault="00223CD7" w:rsidP="002B24E0"/>
        </w:tc>
      </w:tr>
      <w:tr w:rsidR="00223CD7" w14:paraId="346FC092" w14:textId="77777777" w:rsidTr="00292503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43F015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MK-1026-008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BELLWAVE-008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5E4918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„Randomizowane badanie fazy 3 mające na celu porównanie skuteczności i bezpieczeństwa stosowania nematabrutynibu i stosowania chemioimmunoterapii w leczeniu wcześniej nieleczonej przewlekłej białaczki limfocytowej/chłoniaka z małych limfocytów bez aberracji genu TP53 (BELLWAVE-008)”</w:t>
            </w:r>
          </w:p>
        </w:tc>
        <w:tc>
          <w:tcPr>
            <w:tcW w:w="2830" w:type="dxa"/>
            <w:vMerge/>
          </w:tcPr>
          <w:p w14:paraId="1F26F41D" w14:textId="77777777" w:rsidR="00223CD7" w:rsidRDefault="00223CD7" w:rsidP="002B24E0"/>
        </w:tc>
      </w:tr>
      <w:tr w:rsidR="00223CD7" w14:paraId="620E22B1" w14:textId="77777777" w:rsidTr="00D03328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3B782E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ISIS 702843-CS4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7E6012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„Randomizowane, prowadzone metodą otwartej próby badanie fazy IIa oceniające skuteczność, bezpieczeństwo stosowania, tolerancję, farmakokinetykę i farmakodynamikę produktu ISIS 702843 podawanego pacjentom z czerwienicą prawdziwą zależną od flebotomii (PD-PV)”</w:t>
            </w:r>
          </w:p>
        </w:tc>
        <w:tc>
          <w:tcPr>
            <w:tcW w:w="2830" w:type="dxa"/>
            <w:vMerge/>
          </w:tcPr>
          <w:p w14:paraId="2D384079" w14:textId="77777777" w:rsidR="00223CD7" w:rsidRDefault="00223CD7" w:rsidP="002B24E0"/>
        </w:tc>
      </w:tr>
      <w:tr w:rsidR="00223CD7" w14:paraId="3B085FA2" w14:textId="77777777" w:rsidTr="002D1D5F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55DE1B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218670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DREAMM20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0368AAD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„Wieloośrodkowe badanie fazy I/II prowadzone metodą otwartej próby ze zwiększaniem oraz rozszerzoną oceną dawkowania, oceniające bezpieczeństwo, tolerancję i aktywność kliniczną belantamabu podawanego w monoterapii i w skojarzeniu z innymi lekami u pacjentów ze szpiczakiem mnogim.”</w:t>
            </w:r>
          </w:p>
        </w:tc>
        <w:tc>
          <w:tcPr>
            <w:tcW w:w="2830" w:type="dxa"/>
            <w:vMerge/>
          </w:tcPr>
          <w:p w14:paraId="6772D2A8" w14:textId="77777777" w:rsidR="00223CD7" w:rsidRDefault="00223CD7" w:rsidP="002B24E0"/>
        </w:tc>
      </w:tr>
      <w:tr w:rsidR="00223CD7" w14:paraId="3FB4CA2C" w14:textId="77777777" w:rsidTr="00A35255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499335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PAC303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A12B6C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„Badanie kliniczne PACIFICA faza III: Badanie kliniczne fazy III prowadzone z randomizacją i grupą kontrolną oceniające stosowanie pakrytynibu w porównaniu do leczenia wybranego przez lekarza w leczeniu pacjentów z pierwotną </w:t>
            </w: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mielofibrozą, mielofibrozą powstałą wskutek transformacji z czerwienicy prawdziwej lub nadpłytkowości samoistnej, z głęboką trombocytopenią (liczba płytek krwi &lt;50 000 / μl)”</w:t>
            </w:r>
          </w:p>
        </w:tc>
        <w:tc>
          <w:tcPr>
            <w:tcW w:w="2830" w:type="dxa"/>
            <w:vMerge w:val="restart"/>
          </w:tcPr>
          <w:p w14:paraId="220BBFE7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7CDC973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CB61405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02AFC74" w14:textId="099B968B" w:rsidR="00223CD7" w:rsidRDefault="00302BF6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Kl. Hematoonkologii i Transplantacji Szpiku</w:t>
            </w:r>
          </w:p>
          <w:p w14:paraId="2C23B2B4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08B5E95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DB86700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65441FF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97482B1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5C69CD6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F7BA417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5530B33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DE1A5AE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49DCB52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48DCABA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EA7156A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AED6729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09B8011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88CBC6E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A25A0E8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09A88B2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37AF925" w14:textId="77777777" w:rsidR="00223CD7" w:rsidRDefault="00223CD7" w:rsidP="00223CD7">
            <w:pPr>
              <w:jc w:val="center"/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Kl. Hematoonkologii i Transplantacji Szpiku</w:t>
            </w:r>
          </w:p>
        </w:tc>
      </w:tr>
      <w:tr w:rsidR="00223CD7" w14:paraId="02B89B26" w14:textId="77777777" w:rsidTr="00FB683D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BCC9A3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LOXO-BTK-20022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9028EB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Randomizowane badanie fazy III z zastosowaniem stałego czasu trwania, prowadzone metodą otwartej próby, oceniające preparat Pirtobrutynib (LOXO-305) w skojarzeniu z wenetoklaksem i Rytuksymabem w porównaniu z wenetoklaksem i rytuksymabem w uprzednio leczonej przewlekłej białaczce limfocytowej/chłoniaku z małych limfocytów B (BRUIN-CLL-322)</w:t>
            </w:r>
          </w:p>
        </w:tc>
        <w:tc>
          <w:tcPr>
            <w:tcW w:w="2830" w:type="dxa"/>
            <w:vMerge/>
          </w:tcPr>
          <w:p w14:paraId="637E6369" w14:textId="77777777" w:rsidR="00223CD7" w:rsidRDefault="00223CD7" w:rsidP="002B24E0"/>
        </w:tc>
      </w:tr>
      <w:tr w:rsidR="00223CD7" w14:paraId="3F6D2557" w14:textId="77777777" w:rsidTr="00AC456D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24B8C6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CGT9486-21-202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D17812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„(Summit) Wieloczęściowe, randomizowane badanie kliniczne fazy 2, prowadzone metodą podwójnie ślepej próby z grupą kontrolną otrzymującą placebo, oceniające bezpieczeństwo i skuteczność produktu CGT9486 u pacjentów z niezaawansowaną układową mastocytozą”</w:t>
            </w:r>
          </w:p>
        </w:tc>
        <w:tc>
          <w:tcPr>
            <w:tcW w:w="2830" w:type="dxa"/>
            <w:vMerge/>
          </w:tcPr>
          <w:p w14:paraId="04F829ED" w14:textId="77777777" w:rsidR="00223CD7" w:rsidRDefault="00223CD7" w:rsidP="002B24E0"/>
        </w:tc>
      </w:tr>
      <w:tr w:rsidR="00223CD7" w14:paraId="7A4A35E1" w14:textId="77777777" w:rsidTr="00132171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3E55F1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INCB050465-801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73E880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“Wieloośrodkowe, prowadzone metodą otwartej próby badanie fazy II z powtórnym udziałem osób badanych zapewniające kontynuację leczenia uczestnikom włączonym wcześniej do badań nad parsaklizybem (INCB050465)”</w:t>
            </w:r>
          </w:p>
        </w:tc>
        <w:tc>
          <w:tcPr>
            <w:tcW w:w="2830" w:type="dxa"/>
            <w:vMerge/>
          </w:tcPr>
          <w:p w14:paraId="44AB4A32" w14:textId="77777777" w:rsidR="00223CD7" w:rsidRDefault="00223CD7" w:rsidP="002B24E0"/>
        </w:tc>
      </w:tr>
      <w:tr w:rsidR="00223CD7" w14:paraId="2E9C351D" w14:textId="77777777" w:rsidTr="009E702A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01F127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M22-574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8D14BF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”Wieloośrodkowe, randomizowane, otwarte badanie fazy 3, dotyczące stosowania ABBV-383 w porównaniu do standardowej terapii u pacjentów z nawrotowym lub opornym na leczenie szpiczakiem mnogim (3L + RRMM Monotherapy Study”</w:t>
            </w:r>
          </w:p>
        </w:tc>
        <w:tc>
          <w:tcPr>
            <w:tcW w:w="2830" w:type="dxa"/>
            <w:vMerge/>
          </w:tcPr>
          <w:p w14:paraId="5C61CA56" w14:textId="77777777" w:rsidR="00223CD7" w:rsidRDefault="00223CD7" w:rsidP="002B24E0"/>
        </w:tc>
      </w:tr>
      <w:tr w:rsidR="00223CD7" w14:paraId="0341B3E4" w14:textId="77777777" w:rsidTr="00F64FD6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AE5448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INCB 18424-270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FE41137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Wieloośrodkowe, prowadzone metodą otwartej próby badanie z powtórnym udziałem osób badanych, mające na celu umożliwienie kontynuacji leczenia uczestnikom wcześniej włączonym do badań nad ruksolitynibem</w:t>
            </w:r>
          </w:p>
        </w:tc>
        <w:tc>
          <w:tcPr>
            <w:tcW w:w="2830" w:type="dxa"/>
            <w:vMerge w:val="restart"/>
          </w:tcPr>
          <w:p w14:paraId="1B755AA0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022787B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574BDAE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A9DA27E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C6F7B4F" w14:textId="30EB012D" w:rsidR="00223CD7" w:rsidRDefault="00302BF6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Kl. Hematoonkologii i Transplantacji Szpiku</w:t>
            </w:r>
          </w:p>
          <w:p w14:paraId="5BDA8719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97DBE98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805B85E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E7EBE40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F555765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80695BC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FAB112E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0BF0147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AA0EC63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A998BE0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F97D828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F4C50D1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DC55D68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79D45CE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78BE6AC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D1D319E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4057222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FF86662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77C83E3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EDC5D7A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6FAEC23" w14:textId="77777777" w:rsidR="00223CD7" w:rsidRDefault="00223CD7" w:rsidP="00223CD7">
            <w:pPr>
              <w:jc w:val="center"/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Kl. Hematoonkologii i Transplantacji Szpiku</w:t>
            </w:r>
          </w:p>
        </w:tc>
      </w:tr>
      <w:tr w:rsidR="00223CD7" w14:paraId="27DB480F" w14:textId="77777777" w:rsidTr="009F2CCA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9ED5A6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CGT9486-21-201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76EE0B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Otwarte, wieloośrodkowe badanie kliniczne fazy II dotyczące profili bezpieczeństwa, skuteczności, </w:t>
            </w: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farmakokinetyki, farmakodynamiki CGT9486 jako pojedynczego leku u pacjentów z zaawansowaną mastocytozą układową</w:t>
            </w:r>
          </w:p>
        </w:tc>
        <w:tc>
          <w:tcPr>
            <w:tcW w:w="2830" w:type="dxa"/>
            <w:vMerge/>
          </w:tcPr>
          <w:p w14:paraId="0F96D0F7" w14:textId="77777777" w:rsidR="00223CD7" w:rsidRDefault="00223CD7" w:rsidP="002B24E0"/>
        </w:tc>
      </w:tr>
      <w:tr w:rsidR="00223CD7" w14:paraId="18EEDFD1" w14:textId="77777777" w:rsidTr="00BA102B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684077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POTAMI-61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7DE6FB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Badanie kliniczne prowadzone metodą otwartej próby, oceniające stosowanie RVU120 w monoterapii i w skojarzeniu z ruksolitynibem u pacjentów z pierwotną lub wtórną mielofibrozą pośredniego lub wysokiego ryzyka (POTAMI-61)</w:t>
            </w:r>
          </w:p>
        </w:tc>
        <w:tc>
          <w:tcPr>
            <w:tcW w:w="2830" w:type="dxa"/>
            <w:vMerge/>
          </w:tcPr>
          <w:p w14:paraId="3D12E52E" w14:textId="77777777" w:rsidR="00223CD7" w:rsidRDefault="00223CD7" w:rsidP="002B24E0"/>
        </w:tc>
      </w:tr>
      <w:tr w:rsidR="00223CD7" w14:paraId="1DF6F053" w14:textId="77777777" w:rsidTr="009E6A1B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0D210E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MK-1026-011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BELLWAVE-011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B9DE8A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”Randomizowane badanie fazy 3 porównujące nemtabrutynib z lekiem porównawczym (wybór ibrutynibu lub akalabrutynibu należy do badacza) u uczestników z nieleczoną przewlekłą białaczką limfocytową/chłoniakiem z małych limfocytów (BELLWAVE-011)”</w:t>
            </w:r>
          </w:p>
        </w:tc>
        <w:tc>
          <w:tcPr>
            <w:tcW w:w="2830" w:type="dxa"/>
            <w:vMerge/>
          </w:tcPr>
          <w:p w14:paraId="569B46C6" w14:textId="77777777" w:rsidR="00223CD7" w:rsidRDefault="00223CD7" w:rsidP="002B24E0"/>
        </w:tc>
      </w:tr>
      <w:tr w:rsidR="00223CD7" w14:paraId="153EE28F" w14:textId="77777777" w:rsidTr="00F25588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6E6430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MK-3543-007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065C95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„Randomizowane badanie kliniczne fazy 3, prowadzone metodą podwójnie zaślepionej próby kontrolowane aktywnym komparatorem, mające na celu ocenę skuteczności i bezpieczeństwa stosowania Bomedemstatu (MK-3543) w porównaniu z hydroksymocznikiem u uczestników z nadpłytkowością samoistną, nie poddanych wcześniej terapii cytoredukcyjnej”</w:t>
            </w:r>
          </w:p>
        </w:tc>
        <w:tc>
          <w:tcPr>
            <w:tcW w:w="2830" w:type="dxa"/>
            <w:vMerge/>
          </w:tcPr>
          <w:p w14:paraId="6A1A7D1E" w14:textId="77777777" w:rsidR="00223CD7" w:rsidRDefault="00223CD7" w:rsidP="002B24E0"/>
        </w:tc>
      </w:tr>
      <w:tr w:rsidR="00223CD7" w14:paraId="5DD4009E" w14:textId="77777777" w:rsidTr="00580576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8648B0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214828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DREAMM10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9F5F61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„Randomizowane badanie fazy III prowadzone metodą otwartej próby z zastosowaniem belantamabu mafodotyny podawanego w skojarzeniu z lenalidomidem i deksametazonem (BRd) w porównaniu z daratumumabem, lenalidomidem i deksametazonem (DRd) u uczestników z nowo rozpoznanym szpiczakiem mnogim, którzy nie kwalifikują się do autologicznego przeszczepu komórek macierzystych (TI-NDMM)-DREAMM-10”</w:t>
            </w:r>
          </w:p>
        </w:tc>
        <w:tc>
          <w:tcPr>
            <w:tcW w:w="2830" w:type="dxa"/>
            <w:vMerge/>
          </w:tcPr>
          <w:p w14:paraId="771AE51A" w14:textId="77777777" w:rsidR="00223CD7" w:rsidRDefault="00223CD7" w:rsidP="002B24E0"/>
        </w:tc>
      </w:tr>
      <w:tr w:rsidR="00223CD7" w14:paraId="65CFC514" w14:textId="77777777" w:rsidTr="00417BA7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289613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20520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MAGIC- AML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12273A" w14:textId="77777777" w:rsidR="00223CD7" w:rsidRPr="006B75BB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Wieloramienne, wieloośrodkowe, randomizowane, oparte o diagnostykę molekularną, kontrolowane badanie kliniczne spersonalizowanej strategii leczenia </w:t>
            </w: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 ostrej białaczce szpikowej MAGIC-AML</w:t>
            </w:r>
          </w:p>
        </w:tc>
        <w:tc>
          <w:tcPr>
            <w:tcW w:w="2830" w:type="dxa"/>
            <w:vMerge w:val="restart"/>
          </w:tcPr>
          <w:p w14:paraId="7477AB1E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DEC8FF1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75AD5B5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2C573B2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BF43F92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4377797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EF3B47F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6604167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5BA0161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BD3D4E9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89BACFB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7481E2F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4BAB46F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9A8EB7A" w14:textId="77777777" w:rsidR="00223CD7" w:rsidRDefault="00223CD7" w:rsidP="00223CD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05E898E" w14:textId="77777777" w:rsidR="00223CD7" w:rsidRDefault="00223CD7" w:rsidP="00223CD7">
            <w:pPr>
              <w:jc w:val="center"/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Kl. Hematoonkologii i Transplantacji Szpiku</w:t>
            </w:r>
          </w:p>
        </w:tc>
      </w:tr>
      <w:tr w:rsidR="00223CD7" w14:paraId="1B4EE97C" w14:textId="77777777" w:rsidTr="00B218FC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C88ED1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64007957MMY3005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9441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MajesTEC-7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1BE01D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Randomizowane badanie fazy 3 porównujące leczenie w schemacie Teklistamab, Daratumumab SC i Lenalidomid (Tec-DR) oraz Talkwetamab, Daratumumab SC i Lenalidomid (Tal-DR) z leczeniem w schemacie Daratumumab SC, Lenalidomid i Deksametazon (DRd) u pacjentów z wcześniej nieleczonym szpiczakiem plazmocytowym dla których transplantacja komórek hematopoetycznych nie jest planowana jako pierwsza linia terapii</w:t>
            </w:r>
          </w:p>
        </w:tc>
        <w:tc>
          <w:tcPr>
            <w:tcW w:w="2830" w:type="dxa"/>
            <w:vMerge/>
          </w:tcPr>
          <w:p w14:paraId="0B717980" w14:textId="77777777" w:rsidR="00223CD7" w:rsidRDefault="00223CD7" w:rsidP="00223CD7">
            <w:pPr>
              <w:jc w:val="center"/>
            </w:pPr>
          </w:p>
        </w:tc>
      </w:tr>
      <w:tr w:rsidR="00223CD7" w14:paraId="55A032F1" w14:textId="77777777" w:rsidTr="00142641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60068D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ASTX030-01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E81429" w14:textId="77777777" w:rsidR="00223CD7" w:rsidRPr="006B75BB" w:rsidRDefault="00223CD7" w:rsidP="002B24E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75BB">
              <w:rPr>
                <w:rFonts w:ascii="Calibri" w:eastAsia="Times New Roman" w:hAnsi="Calibri" w:cs="Calibri"/>
                <w:color w:val="000000"/>
                <w:lang w:eastAsia="pl-PL"/>
              </w:rPr>
              <w:t>„Randomizowane, wielofazowe badanie skrzyżowane z fazą zwiększania dawki, po której następuje faza leczenia prowadzonego metodą otwartej próby, oceniające preparat ASTX30 (skojarzenie cedazurydyny i azacytydyny) podawany doustnie w porównaniu z azacytydyną podawaną podskórnie u pacjentów z zespołami mielodysplastycznymi (MDS), przwlekłą białaczką mielomonocytową (CMML) lub ostrą białaczką szpikową (AML)”</w:t>
            </w:r>
          </w:p>
        </w:tc>
        <w:tc>
          <w:tcPr>
            <w:tcW w:w="2830" w:type="dxa"/>
            <w:vMerge/>
          </w:tcPr>
          <w:p w14:paraId="0D5A2092" w14:textId="77777777" w:rsidR="00223CD7" w:rsidRDefault="00223CD7" w:rsidP="00223CD7">
            <w:pPr>
              <w:jc w:val="center"/>
            </w:pPr>
          </w:p>
        </w:tc>
      </w:tr>
    </w:tbl>
    <w:p w14:paraId="7DCF2056" w14:textId="77777777" w:rsidR="00EB2677" w:rsidRDefault="00EB2677"/>
    <w:sectPr w:rsidR="00EB26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2750F" w14:textId="77777777" w:rsidR="001416BF" w:rsidRDefault="001416BF" w:rsidP="00302BF6">
      <w:pPr>
        <w:spacing w:after="0" w:line="240" w:lineRule="auto"/>
      </w:pPr>
      <w:r>
        <w:separator/>
      </w:r>
    </w:p>
  </w:endnote>
  <w:endnote w:type="continuationSeparator" w:id="0">
    <w:p w14:paraId="4F0E6A89" w14:textId="77777777" w:rsidR="001416BF" w:rsidRDefault="001416BF" w:rsidP="0030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1478978"/>
      <w:docPartObj>
        <w:docPartGallery w:val="Page Numbers (Bottom of Page)"/>
        <w:docPartUnique/>
      </w:docPartObj>
    </w:sdtPr>
    <w:sdtContent>
      <w:p w14:paraId="426C115E" w14:textId="11CD883B" w:rsidR="00302BF6" w:rsidRDefault="00302B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AEC33" w14:textId="77777777" w:rsidR="00302BF6" w:rsidRDefault="00302B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E3F1D" w14:textId="77777777" w:rsidR="001416BF" w:rsidRDefault="001416BF" w:rsidP="00302BF6">
      <w:pPr>
        <w:spacing w:after="0" w:line="240" w:lineRule="auto"/>
      </w:pPr>
      <w:r>
        <w:separator/>
      </w:r>
    </w:p>
  </w:footnote>
  <w:footnote w:type="continuationSeparator" w:id="0">
    <w:p w14:paraId="1224B675" w14:textId="77777777" w:rsidR="001416BF" w:rsidRDefault="001416BF" w:rsidP="00302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FD"/>
    <w:rsid w:val="000720FA"/>
    <w:rsid w:val="001416BF"/>
    <w:rsid w:val="001723FD"/>
    <w:rsid w:val="001E0F4A"/>
    <w:rsid w:val="00223CD7"/>
    <w:rsid w:val="0029129B"/>
    <w:rsid w:val="002B24E0"/>
    <w:rsid w:val="00302BF6"/>
    <w:rsid w:val="0049400E"/>
    <w:rsid w:val="00973944"/>
    <w:rsid w:val="00BD4D10"/>
    <w:rsid w:val="00C279B2"/>
    <w:rsid w:val="00D2422F"/>
    <w:rsid w:val="00EB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062D"/>
  <w15:chartTrackingRefBased/>
  <w15:docId w15:val="{F33EB9D1-E81E-44A0-A63F-10F55C3B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BF6"/>
  </w:style>
  <w:style w:type="paragraph" w:styleId="Stopka">
    <w:name w:val="footer"/>
    <w:basedOn w:val="Normalny"/>
    <w:link w:val="StopkaZnak"/>
    <w:uiPriority w:val="99"/>
    <w:unhideWhenUsed/>
    <w:rsid w:val="0030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69964-AE01-45E9-A80A-404CECB8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3173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Dokudowiec</dc:creator>
  <cp:keywords/>
  <dc:description/>
  <cp:lastModifiedBy>Dariusz Ciwiński</cp:lastModifiedBy>
  <cp:revision>3</cp:revision>
  <dcterms:created xsi:type="dcterms:W3CDTF">2025-10-07T08:02:00Z</dcterms:created>
  <dcterms:modified xsi:type="dcterms:W3CDTF">2025-10-07T08:41:00Z</dcterms:modified>
</cp:coreProperties>
</file>