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44527" w14:textId="39B3293D" w:rsidR="004C5530" w:rsidRPr="004C5530" w:rsidRDefault="004C5530" w:rsidP="00D73CF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Terapia przy użyciu żylno-żylnego ECMO jest metodą pozwalającą na czasowe wspomaganie wymiany gazowej u pacjentów, u których </w:t>
      </w:r>
      <w:r w:rsidR="00D73CFB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m.in. 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w przebiegu zakażenia wirusem SARS CoV-2 doszło do ciężkiej niewydolności oddechowej, opornej na leczenie przy pomocy konwencjonalnej wentylacji mechanicznej</w:t>
      </w:r>
      <w:r w:rsidR="00D73CFB" w:rsidRP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Należ wyraźnie podkreślić, że stosowanie terapii przy użyciu </w:t>
      </w:r>
      <w:r w:rsidR="00D73CFB" w:rsidRPr="004C5530">
        <w:rPr>
          <w:rFonts w:ascii="Times New Roman" w:eastAsia="Times New Roman" w:hAnsi="Times New Roman" w:cs="Times New Roman"/>
          <w:color w:val="000000"/>
          <w:lang w:eastAsia="pl-PL"/>
        </w:rPr>
        <w:t>żylno-żylnego ECMO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 wiąże się z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 wysokim ryzykiem wystąpienia powikłań, mogących skutkować istotnym pogorszeniem stanu zdrowia pacjenta lub zgonem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>W związku z powyższym,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celu zapewnienia optymalnych wyników leczenia</w:t>
      </w:r>
      <w:r w:rsidR="007C0D7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należy dążyć do wzmacniania potencjału istniejących ośrodków ECMO (najlepiej na bazie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OAiIT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strukturach szpitali klinicznych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 lub ośrodków o wysokiej referencyjności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), dysponujących doświadczeniem w prowadzeniu tej terapii</w:t>
      </w:r>
      <w:r w:rsidR="007C0D72">
        <w:rPr>
          <w:rFonts w:ascii="Times New Roman" w:eastAsia="Times New Roman" w:hAnsi="Times New Roman" w:cs="Times New Roman"/>
          <w:color w:val="000000"/>
          <w:lang w:eastAsia="pl-PL"/>
        </w:rPr>
        <w:t xml:space="preserve"> (minimalna liczba zabiegów 10-12 w skali roku), a także posiadających zaplecze zabiegowe, umożliwiające natychmiastowe zaopatrzenie potencjalnych powikłań (oddział kardiochirurgii lub chirurgii naczyniowej). </w:t>
      </w:r>
      <w:r w:rsidR="00D73CFB">
        <w:rPr>
          <w:rFonts w:ascii="Times New Roman" w:eastAsia="Times New Roman" w:hAnsi="Times New Roman" w:cs="Times New Roman"/>
          <w:color w:val="000000"/>
          <w:lang w:eastAsia="pl-PL"/>
        </w:rPr>
        <w:t xml:space="preserve">Za niecelowe należy uznać doposażanie w aparaturę ECMO oddziałów nie spełniających ww. warunków, a w szczególności szpitali tymczasowych, gdzie nie ma możliwości zapewnienia odpowiedniego zaplecza kadrowego oraz sprzętowego, umożliwiającego bezpieczne i efektywne stosowanie terapii pozaustrojowych.  </w:t>
      </w:r>
    </w:p>
    <w:p w14:paraId="1BCB125F" w14:textId="77777777" w:rsidR="004C5530" w:rsidRPr="004C5530" w:rsidRDefault="004C5530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812CF7" w14:textId="77777777" w:rsidR="004C5530" w:rsidRPr="004C5530" w:rsidRDefault="004C5530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A92C8" w14:textId="77777777" w:rsidR="00932566" w:rsidRDefault="00052C0D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Zaleceni</w:t>
      </w:r>
      <w:r w:rsidR="004C5530" w:rsidRPr="004C5530">
        <w:rPr>
          <w:rFonts w:ascii="Times New Roman" w:eastAsia="Times New Roman" w:hAnsi="Times New Roman" w:cs="Times New Roman"/>
          <w:color w:val="000000"/>
          <w:lang w:eastAsia="pl-PL"/>
        </w:rPr>
        <w:t>a: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332272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. Zastosowanie terapii żylno-żylnego ECMO ma szanse przynieść korzyści u pacjentów w ostrej fazie COVID-19: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1) spełniających kryteria rozpoznania ARDS przed wdrożeniem wentylacji inwazyjnej:</w:t>
      </w:r>
    </w:p>
    <w:p w14:paraId="0609758E" w14:textId="54FE989C" w:rsidR="00932566" w:rsidRPr="008F7462" w:rsidRDefault="00052C0D" w:rsidP="008F7462">
      <w:pPr>
        <w:spacing w:line="360" w:lineRule="auto"/>
        <w:ind w:left="708"/>
        <w:rPr>
          <w:rFonts w:ascii="Times New Roman" w:hAnsi="Times New Roman" w:cs="Times New Roman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a. wskaźnik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oksygenacji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(PaO2/FiO2) ≤200 mmHg,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b. obecność obustronnych zmian miąższowych w płucach odpowiadających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niekardiogennemu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obrzękowi płuc,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c. brak objawów</w:t>
      </w:r>
      <w:r w:rsidR="008F7462">
        <w:rPr>
          <w:rFonts w:ascii="Times New Roman" w:eastAsia="Times New Roman" w:hAnsi="Times New Roman" w:cs="Times New Roman"/>
          <w:color w:val="000000"/>
          <w:lang w:eastAsia="pl-PL"/>
        </w:rPr>
        <w:t xml:space="preserve"> sugerujących ciężką</w:t>
      </w:r>
      <w:r w:rsidR="00335C03" w:rsidRPr="004C5530">
        <w:rPr>
          <w:rFonts w:ascii="Times New Roman" w:hAnsi="Times New Roman" w:cs="Times New Roman"/>
        </w:rPr>
        <w:t xml:space="preserve"> niewydolnoś</w:t>
      </w:r>
      <w:r w:rsidR="008F7462">
        <w:rPr>
          <w:rFonts w:ascii="Times New Roman" w:hAnsi="Times New Roman" w:cs="Times New Roman"/>
        </w:rPr>
        <w:t>ć</w:t>
      </w:r>
      <w:r w:rsidR="00335C03" w:rsidRPr="004C5530">
        <w:rPr>
          <w:rFonts w:ascii="Times New Roman" w:hAnsi="Times New Roman" w:cs="Times New Roman"/>
        </w:rPr>
        <w:t xml:space="preserve"> lewokomorow</w:t>
      </w:r>
      <w:r w:rsidR="008F7462">
        <w:rPr>
          <w:rFonts w:ascii="Times New Roman" w:hAnsi="Times New Roman" w:cs="Times New Roman"/>
        </w:rPr>
        <w:t>ą</w:t>
      </w:r>
      <w:r w:rsidR="00335C03" w:rsidRPr="004C5530">
        <w:rPr>
          <w:rFonts w:ascii="Times New Roman" w:hAnsi="Times New Roman" w:cs="Times New Roman"/>
        </w:rPr>
        <w:t xml:space="preserve"> </w:t>
      </w:r>
      <w:r w:rsidR="008F7462">
        <w:rPr>
          <w:rFonts w:ascii="Times New Roman" w:hAnsi="Times New Roman" w:cs="Times New Roman"/>
        </w:rPr>
        <w:t>(</w:t>
      </w:r>
      <w:r w:rsidR="00335C03" w:rsidRPr="004C5530">
        <w:rPr>
          <w:rFonts w:ascii="Times New Roman" w:hAnsi="Times New Roman" w:cs="Times New Roman"/>
        </w:rPr>
        <w:t>ciśnienie zaklinowania w tętnicy płucnej wynosi &lt; 18 mmHg</w:t>
      </w:r>
      <w:r w:rsidR="008F7462">
        <w:rPr>
          <w:rFonts w:ascii="Times New Roman" w:hAnsi="Times New Roman" w:cs="Times New Roman"/>
        </w:rPr>
        <w:t>, brak ciężkiego upośledzenia kurczliwości lewej komory w badaniu echokardiograficznym, etc.)</w:t>
      </w:r>
      <w:r w:rsidR="00335C03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9B7957C" w14:textId="32AF3177" w:rsidR="00932566" w:rsidRDefault="00932566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2) </w:t>
      </w:r>
      <w:r w:rsidRPr="00D42D99">
        <w:rPr>
          <w:rFonts w:ascii="Times New Roman" w:eastAsia="Times New Roman" w:hAnsi="Times New Roman" w:cs="Times New Roman"/>
          <w:color w:val="000000"/>
          <w:lang w:eastAsia="pl-PL"/>
        </w:rPr>
        <w:t>wentylowanych inwazyjnie przez czas &lt;7 dni</w:t>
      </w:r>
    </w:p>
    <w:p w14:paraId="5931764F" w14:textId="77777777" w:rsidR="00932566" w:rsidRDefault="00932566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) z ciężkimi zaburzeniami wymiany gazowej w trakcie trwania wentylacji inwazyjnej z optymalnymi nastawami respiratora (FiO2 ≥0,8, TV 6 ml/kg należnej masy ciała, PEEP ≥10 cm H</w:t>
      </w:r>
      <w:r w:rsidR="00052C0D" w:rsidRPr="00932566">
        <w:rPr>
          <w:rFonts w:ascii="Times New Roman" w:eastAsia="Times New Roman" w:hAnsi="Times New Roman" w:cs="Times New Roman"/>
          <w:color w:val="000000"/>
          <w:vertAlign w:val="subscript"/>
          <w:lang w:eastAsia="pl-PL"/>
        </w:rPr>
        <w:t>2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O), u których podjęto próby poprawy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oksygenacji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przy pomocy dostępnych w danym ośrodku metod (np. ułożenie w pozycji odwróconej (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prone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position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) na co najmniej 12-16 godzin w ciągu doby, zastosowanie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ciągłej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blokady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nerwowo-mięśniowej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, itp.):</w:t>
      </w:r>
    </w:p>
    <w:p w14:paraId="70DB7890" w14:textId="77777777" w:rsidR="00932566" w:rsidRDefault="00052C0D" w:rsidP="00932566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a. wskaźnik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oksygenacji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(PaO2/FiO2) &lt; 50 mmHg przez &gt;3 godziny, lub</w:t>
      </w:r>
    </w:p>
    <w:p w14:paraId="7700FBF9" w14:textId="77777777" w:rsidR="00932566" w:rsidRDefault="00052C0D" w:rsidP="00932566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b. wskaźnik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oksygenacji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(PaO2/FiO2) &lt;80 mmHg przez &gt;6 godzin, lub</w:t>
      </w:r>
    </w:p>
    <w:p w14:paraId="142BEDD1" w14:textId="5FD1E5A0" w:rsidR="00932566" w:rsidRDefault="00052C0D" w:rsidP="00932566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c.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pH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krwi tętniczej &lt;7,25 przy PaCO2 ≥60 mmHg przy częstości oddechów nie</w:t>
      </w:r>
      <w:r w:rsidR="0093256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przekraczającej 35/min oraz ciśnieniu plateau ≤32 cm H</w:t>
      </w:r>
      <w:r w:rsidR="00332272">
        <w:rPr>
          <w:rFonts w:ascii="Times New Roman" w:eastAsia="Times New Roman" w:hAnsi="Times New Roman" w:cs="Times New Roman"/>
          <w:color w:val="000000"/>
          <w:vertAlign w:val="subscript"/>
          <w:lang w:eastAsia="pl-PL"/>
        </w:rPr>
        <w:t>2</w:t>
      </w:r>
      <w:r w:rsidR="00332272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14:paraId="721FDB9A" w14:textId="77777777" w:rsidR="008F7462" w:rsidRDefault="00332272" w:rsidP="008F7462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II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. Zastosowanie terapii żylno-żylnego ECMO jest procedurą obarczoną wieloma powikłaniami, której zastosowanie powinno być ograniczone jedynie do pacjentów, u których potencjalne korzyści przewyższają potencjalne ryzyko. Terapia ECMO nie przyniesie korzyści lub jest z innych względów niewskazana u następujących pacjentów: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1) zakwalifikowanych do 3-go i 4-go priorytetu przyjęć na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OAiIT</w:t>
      </w:r>
      <w:proofErr w:type="spellEnd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, zgodnie z Wytycznymi Polskiego Towarzystwa Anestezjologii i Intensywnej Terapii określające zasady kwalifikacji oraz kryteria przyjęcia chorych do Oddziałów Anestezjologii i Intensywnej Terapii;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2) wentylowanych inwazyjnie</w:t>
      </w:r>
      <w:r w:rsidR="008F7462">
        <w:rPr>
          <w:rFonts w:ascii="Times New Roman" w:eastAsia="Times New Roman" w:hAnsi="Times New Roman" w:cs="Times New Roman"/>
          <w:color w:val="000000"/>
          <w:lang w:eastAsia="pl-PL"/>
        </w:rPr>
        <w:t xml:space="preserve"> lub 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nieinwazyjnie</w:t>
      </w:r>
      <w:r w:rsidR="008F746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F7462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≥ 7 dni </w:t>
      </w:r>
      <w:r w:rsidR="008F7462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="008F7462" w:rsidRPr="004C5530">
        <w:rPr>
          <w:rFonts w:ascii="Times New Roman" w:eastAsia="Times New Roman" w:hAnsi="Times New Roman" w:cs="Times New Roman"/>
          <w:color w:val="000000"/>
          <w:lang w:eastAsia="pl-PL"/>
        </w:rPr>
        <w:t>FiO2 &gt;0,6</w:t>
      </w:r>
    </w:p>
    <w:p w14:paraId="1765274E" w14:textId="7AD9BE20" w:rsidR="00332272" w:rsidRDefault="008F7462" w:rsidP="008F7462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3) u których stosowano 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wysokoprzepływow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tlenoterapi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donosow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≥ 7 dni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FiO2 &gt;0,6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27572DD" w14:textId="1EA1A119" w:rsidR="00B855C7" w:rsidRPr="004C5530" w:rsidRDefault="00052C0D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3) z masą ciała powyżej 1 kg/cm wzrostu lub BMI &gt;4</w:t>
      </w:r>
      <w:r w:rsidR="00B855C7" w:rsidRPr="004C553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4) z niewydolnością oddechową wymagającą tlenoterapii lub wentylacji nieinwazyjnej w przebiegu przewlekłej choroby płuc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5) wymagających wspomagania czynności innych układów i narządów poza niewydolnością oddechową, w tym:</w:t>
      </w:r>
    </w:p>
    <w:p w14:paraId="64D24B53" w14:textId="77777777" w:rsidR="00B855C7" w:rsidRPr="004C5530" w:rsidRDefault="00B855C7" w:rsidP="0093256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hAnsi="Times New Roman" w:cs="Times New Roman"/>
        </w:rPr>
        <w:t>wymagających leczenia zaostrzenia ciężkiej niewydolności serca prawo lub lewokomorowej, u których należy rozważyć inny rodzaj wparcia pozaustrojowego</w:t>
      </w:r>
    </w:p>
    <w:p w14:paraId="2060EBF7" w14:textId="77777777" w:rsidR="00B855C7" w:rsidRPr="004C5530" w:rsidRDefault="00052C0D" w:rsidP="0093256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stosowania dużych dawek jednego lub kilku leków o działaniu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inotropowym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lub obkurczającym naczynia</w:t>
      </w:r>
    </w:p>
    <w:p w14:paraId="7A28314E" w14:textId="77777777" w:rsidR="00B855C7" w:rsidRPr="004C5530" w:rsidRDefault="00B855C7" w:rsidP="00932566">
      <w:pPr>
        <w:pStyle w:val="Akapitzlist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 xml:space="preserve">noradrenalina &gt;0,2 </w:t>
      </w:r>
      <w:proofErr w:type="spellStart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μg</w:t>
      </w:r>
      <w:proofErr w:type="spellEnd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/kg/min</w:t>
      </w:r>
    </w:p>
    <w:p w14:paraId="1F9A63F4" w14:textId="77777777" w:rsidR="00B855C7" w:rsidRPr="004C5530" w:rsidRDefault="00B855C7" w:rsidP="00932566">
      <w:pPr>
        <w:pStyle w:val="Akapitzlist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 xml:space="preserve">adrenalina &gt;0,1 </w:t>
      </w:r>
      <w:proofErr w:type="spellStart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μg</w:t>
      </w:r>
      <w:proofErr w:type="spellEnd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/kg/min</w:t>
      </w:r>
    </w:p>
    <w:p w14:paraId="6363BD8D" w14:textId="4E0BB090" w:rsidR="00B855C7" w:rsidRPr="004C5530" w:rsidRDefault="00B855C7" w:rsidP="00932566">
      <w:pPr>
        <w:pStyle w:val="Akapitzlist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 xml:space="preserve">dopamina &gt;15 </w:t>
      </w:r>
      <w:proofErr w:type="spellStart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μg</w:t>
      </w:r>
      <w:proofErr w:type="spellEnd"/>
      <w:r w:rsidRPr="004C5530">
        <w:rPr>
          <w:rFonts w:ascii="Times New Roman" w:eastAsia="Times New Roman" w:hAnsi="Times New Roman" w:cs="Times New Roman"/>
          <w:color w:val="202122"/>
          <w:shd w:val="clear" w:color="auto" w:fill="F8F9FA"/>
          <w:lang w:eastAsia="pl-PL"/>
        </w:rPr>
        <w:t>/kg/min</w:t>
      </w:r>
    </w:p>
    <w:p w14:paraId="17E1A6F7" w14:textId="7FD4F891" w:rsidR="005D7C66" w:rsidRPr="004C5530" w:rsidRDefault="005D7C66" w:rsidP="0093256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przewlekłego </w:t>
      </w:r>
      <w:r w:rsidR="00052C0D" w:rsidRPr="004C5530">
        <w:rPr>
          <w:rFonts w:ascii="Times New Roman" w:eastAsia="Times New Roman" w:hAnsi="Times New Roman" w:cs="Times New Roman"/>
          <w:color w:val="000000" w:themeColor="text1"/>
          <w:lang w:eastAsia="pl-PL"/>
        </w:rPr>
        <w:t>leczenia nerkozastępczego</w:t>
      </w:r>
      <w:r w:rsidRPr="004C553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231E6C38" w14:textId="76AC3A5F" w:rsidR="00B855C7" w:rsidRPr="004C5530" w:rsidRDefault="005D7C66" w:rsidP="00932566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leczenia </w:t>
      </w:r>
      <w:proofErr w:type="spellStart"/>
      <w:r w:rsidR="00052C0D" w:rsidRPr="004C5530">
        <w:rPr>
          <w:rFonts w:ascii="Times New Roman" w:eastAsia="Times New Roman" w:hAnsi="Times New Roman" w:cs="Times New Roman"/>
          <w:color w:val="000000"/>
          <w:lang w:eastAsia="pl-PL"/>
        </w:rPr>
        <w:t>wątrobowozastępczego</w:t>
      </w:r>
      <w:proofErr w:type="spellEnd"/>
    </w:p>
    <w:p w14:paraId="179BE533" w14:textId="11001BE9" w:rsidR="00751489" w:rsidRPr="004F28F4" w:rsidRDefault="00052C0D" w:rsidP="00932566">
      <w:pPr>
        <w:spacing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6) z trombocytopenią indukowaną heparyną w wywiadzie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7) z aktywną chorobą nowotworową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8) z niskim prawdopodobieństwem przeżycia ocenionym przy użyciu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skal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prognostycznych (np. SAPS-II, SOFA, APACHE)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9) po zatrzymaniu akcji serca, u których utrzymuje się śpiączka pomimo zakończenia podaży leków zaburzających świadomość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10) z nieodwracalnymi ubytkami neurologicznymi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11) z potencjalnie nieodwracalnymi upośledzeniem odporności i/lub supresją szpiku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12) którzy podjęli wcześniejszą decyzję o niepodejmowaniu/odstąpieniu od terapii podtrzymującej życie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13) u których występują trudności w uzyskaniu odpowiedniego dostępu naczyniowego do żył udow</w:t>
      </w:r>
      <w:r w:rsidR="004F28F4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lub szyjn</w:t>
      </w:r>
      <w:r w:rsidR="004F28F4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br/>
        <w:t>14) z nasilonym zespołem kruchości (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frailty</w:t>
      </w:r>
      <w:proofErr w:type="spellEnd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4C5530">
        <w:rPr>
          <w:rFonts w:ascii="Times New Roman" w:eastAsia="Times New Roman" w:hAnsi="Times New Roman" w:cs="Times New Roman"/>
          <w:color w:val="000000"/>
          <w:lang w:eastAsia="pl-PL"/>
        </w:rPr>
        <w:t>syndrome</w:t>
      </w:r>
      <w:proofErr w:type="spellEnd"/>
      <w:r w:rsidR="004F28F4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sectPr w:rsidR="00751489" w:rsidRPr="004F28F4" w:rsidSect="000B1B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52B22"/>
    <w:multiLevelType w:val="hybridMultilevel"/>
    <w:tmpl w:val="C074C30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D"/>
    <w:rsid w:val="00052C0D"/>
    <w:rsid w:val="00165153"/>
    <w:rsid w:val="0029590E"/>
    <w:rsid w:val="00332272"/>
    <w:rsid w:val="00335C03"/>
    <w:rsid w:val="004C5530"/>
    <w:rsid w:val="004F28F4"/>
    <w:rsid w:val="005D7C66"/>
    <w:rsid w:val="007C0D72"/>
    <w:rsid w:val="007E6FEF"/>
    <w:rsid w:val="008A76F4"/>
    <w:rsid w:val="008F7462"/>
    <w:rsid w:val="00932566"/>
    <w:rsid w:val="00B855C7"/>
    <w:rsid w:val="00D73CFB"/>
    <w:rsid w:val="00F5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D8E6B"/>
  <w14:defaultImageDpi w14:val="32767"/>
  <w15:chartTrackingRefBased/>
  <w15:docId w15:val="{1B88BEE8-282B-B447-814C-15B456E1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52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2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C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C0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8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Gozdzik</dc:creator>
  <cp:keywords/>
  <dc:description/>
  <cp:lastModifiedBy>Mirosław Czuczwar</cp:lastModifiedBy>
  <cp:revision>16</cp:revision>
  <dcterms:created xsi:type="dcterms:W3CDTF">2021-04-15T19:13:00Z</dcterms:created>
  <dcterms:modified xsi:type="dcterms:W3CDTF">2021-04-25T21:14:00Z</dcterms:modified>
</cp:coreProperties>
</file>